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62 vom 20. Mai 2021</w:t>
      </w:r>
    </w:p>
    <w:p>
      <w:r>
        <w:t>FR Kantonsgericht, 2021-05-20, FR</w:t>
      </w:r>
    </w:p>
    <w:p>
      <w:r>
        <w:rPr>
          <w:b/>
        </w:rPr>
        <w:t xml:space="preserve">Quelle: </w:t>
      </w:r>
      <w:r>
        <w:t>https://mcp.opencaselaw.ch/entscheid/fr_gerichte_102_2021_62</w:t>
      </w:r>
    </w:p>
    <w:p>
      <w:r>
        <w:t>FR: FR_GERICHTE 102 2021 62 du 20 mai 2021</w:t>
      </w:r>
    </w:p>
    <w:p>
      <w:r>
        <w:t>IT: FR_GERICHTE 102 2021 62 del 20 maggio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se monte à CHF 14'400.-.</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w:t>
      </w:r>
    </w:p>
    <w:p>
      <w:r>
        <w:t>Tribunal cantonal TC Page 3 de 5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Saisi d'une requête de mainlevée définitive à l'appui de laquelle le poursuivant produit un jugement, le juge doit notamment vérifier si la créance en poursuite résulte de cet acte.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De jurisprudence constante, saisi d'une requête de mainlevée définitive de l'opposition, le juge n'a ni à revoir ni à interpréter le titre qui lui est produit. Si le jugement est peu clair ou incomplet, il appartient au juge du fond de le préciser ou le compléter (ATF 143 III 564 consid. 4.3.2).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w:t>
      </w:r>
    </w:p>
    <w:p>
      <w:r>
        <w:rPr>
          <w:b/>
        </w:rPr>
        <w:t>E. 2.2</w:t>
      </w:r>
    </w:p>
    <w:p>
      <w:r>
        <w:t>Dans sa décision du 3 décembre 2020, le Président du tribunal a retenu que la décision produite par le requérant à l’appui de sa requête constituait certes un titre de mainlevée au sens de l’art. 80 LP, mais qu'il convenait de tenir compte du fait notoire que les ventes immobilières sont sujettes à un impôt sur les gains immobiliers et qu'il ressortait de l'interprétation de la décision du 28 septembre 2018 ratifiant la convention sur les effets accessoires du divorce que l'opposante s'était obligée à verser au requérant la moitié du bénéfice net de la vente de l'immeuble, soit après déduction de l'impôt sur les gains immobiliers. Le recourant s'oppose à cette manière de voir. Il reproche au Président du tribunal d'avoir interprété la décision de divorce de manière contraire à la jurisprudence. Il ajoute que le critère choisi par les parties est le prix de vente et non le produit net de la vente comme retenu par la décision attaquée. Le prix d'aliénation de l'immeuble s'étant élevé à CHF 1'250'000.-, c'est la moitié de la différence entre ce montant et celui de CHF 1'100'000.- qui lui est dû, ce d'autant que les parties ont prévu que les investissements postérieurs au jugement seraient déduits de la soulte due, mais qu'ils n'ont pas mentionné l'impôt sur les gains immobiliers, de sorte qu'il n'y a pas lieu de le déduire avant le partage. L'intimée de son côté conclut à la confirmation de la décision attaquée. Elle fait valoir qu'il est notoire que lors de la vente d'un immeuble dans le cadre d'une procédure de droit matrimonial ou successoral, c'est le bénéfice net de la vente qui est partagé entre les parties et que l'application d'un fait notoire ne vaut pas interprétation d'une transaction judiciaire. De plus, il ne peut à son avis être inféré, sur la base de la teneur de la convention de divorce, que le juge aurait homologué un partage du bénéfice de 1.6 supérieur en faveur de l'une des parties. En outre, si le dispositif du</w:t>
      </w:r>
    </w:p>
    <w:p>
      <w:r>
        <w:t>Tribunal cantonal TC Page 4 de 5 jugement de divorce devait être peu clair ou incomplet, la mainlevée devrait être refusée. Enfin, l'impôt sur le gain immobilier devrait être considéré comme un investissement à déduire du bénéfice réalisé sur la vente de l'immeuble.</w:t>
      </w:r>
    </w:p>
    <w:p>
      <w:r>
        <w:rPr>
          <w:b/>
        </w:rPr>
        <w:t>E. 2.3</w:t>
      </w:r>
    </w:p>
    <w:p>
      <w:r>
        <w:t>En l'espèce, la seule question à trancher est celle de savoir si la convention sur les effets accessoires du divorce homologuée par décision du 28 septembre 2018 est suffisamment claire et précise pour établir le montant auquel le recourant peut prétendre. Or, ladite convention prévoit ce qui suit: "B.________ devient seule propriétaire de la maison familiale art. ddd du Registre foncier de la commune de D.________. […] Elle versera à A.________ dans les 30 jours dès l'entrée en force du jugement de divorce une soulte de CHF 45'000.- pour solde de tout compte s'agissant du régime matrimonial. Si et tant est que B.________ revend la maison familiale dans les dix ans qui suivent la date d'entrée en force du jugement de divorce et que le prix de vente de la maison dépasse CHF 1'100'000.-, la moitié du montant qui dépasse CHF 1'100'000.- serait dû par B.________ à A.________. D'éventuels investissements, postérieurs au jugement de divorce, pourrait être ajoutés au prix de vente et déduits de la soulte due avant le partage." A la lecture du texte de cette convention, on constate que le recourant a perçu une soulte de CHF 45'000.- calculée à partir d'une valeur de la maison familiale estimée à CHF 1'100'000.-, et que les parties ont convenu qu'en cas de vente à un prix supérieur à CHF 1'100'000.-, il avait droit à la moitié de la différence entre le prix de vente et ce montant. Il est par ailleurs établi par les documents produits par les parties en première instance que l'immeuble en question a été vendu pour le prix de CHF 1'250'000.- et qu'un impôt sur les gains immobiliers a été perçu pour un montant total de CHF 69'786.80, soit 19.2 % du gain imposable de CHF 363'473.-. Force est de constater que le texte de la convention sur les effets accessoire du divorce manque de clarté et qu'elle s'avère inapplicable sans procéder à une interprétation. Ainsi, aux termes de la convention, les investissements postérieurs au divorce devaient être ajoutés au "prix de vente", mais il s'agissait vraisemblablement d'ajouter ces investissements au montant de CHF 1'100'000.- et non au prix de vente effectif de l'immeuble. De même, lesdits investissements devaient être déduits de la soulte due "avant le partage", ce par quoi il faut sans doute comprendre la soulte à partager. Le texte de la convention est par ailleurs muet sur la question de savoir dans quelle mesure l'impôt sur les gains immobiliers devait être réparti sur les deux parties ou restait à la charge de la seule intimée. Il ne précise en outre pas s'il faut déduire le montant total de cet impôt du prix de vente, réduisant d'autant le montant à partager, ou s'il y a lieu d'imputer une part de cet impôt sur la soulte due, au taux retenu par l'administration fiscale, comme préconisé par la société fiduciaire mandatée par l'intimée. Dans ces conditions, on ne peut retenir que le texte de la convention sur les effets accessoires du divorce oblige clairement et définitivement l'intimée au paiement d'une somme d'argent déterminée. Elle ne constitue dès lors pas un titre de mainlevée. Il convient par conséquent de confirmer la décision attaquée par substitution de motifs.</w:t>
      </w:r>
    </w:p>
    <w:p>
      <w:r>
        <w:rPr>
          <w:b/>
        </w:rPr>
        <w:t>E. 3</w:t>
      </w:r>
    </w:p>
    <w:p>
      <w:r>
        <w:t>décembre 2020 est confirmée. II. Les frais de la procédure de recours sont mis à la charge de A.________. Les frais judiciaires sont fixés à CHF 500.- et prélevés sur l'avance de frais versée. Les dépens de B.________ sont fixés à CHF 538.50, TVA par CHF 38.50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mai 2021/dbe La Présidente : La Greffière :</w:t>
      </w:r>
    </w:p>
    <w:p>
      <w:r>
        <w:rPr>
          <w:b/>
        </w:rPr>
        <w:t>E. 3.1</w:t>
      </w:r>
    </w:p>
    <w:p>
      <w:r>
        <w:t>Les frais de la procédure de recours doivent être mis à la charge du recourant, qui succombe (art. 106 al. 1 CPC). Ils comprennent les frais judiciaires, fixés forfaitairement à</w:t>
      </w:r>
    </w:p>
    <w:p>
      <w:r>
        <w:t>Tribunal cantonal TC Page 5 de 5 CHF 500.- (art. 48 et 61 al. 1 OELP), qui seront prélevés sur l'avance de frais versée par le recourant.</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l'intimée pour la procédure de recours sont arrêtés globalement à la somme de CHF 538.50, TVA par CHF 38.50 comprise. la Cour arrête : I. Le recours est rejeté. Partant, la décision du Président du Tribunal civil de l'arrondissement de la Sarine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