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45 vom 6. Mai 2021</w:t>
      </w:r>
    </w:p>
    <w:p>
      <w:r>
        <w:t>FR Kantonsgericht, 2021-05-06, FR</w:t>
      </w:r>
    </w:p>
    <w:p>
      <w:r>
        <w:rPr>
          <w:b/>
        </w:rPr>
        <w:t xml:space="preserve">Quelle: </w:t>
      </w:r>
      <w:r>
        <w:t>https://mcp.opencaselaw.ch/entscheid/fr_gerichte_102_2021_45</w:t>
      </w:r>
    </w:p>
    <w:p>
      <w:r>
        <w:t>FR: FR_GERICHTE 102 2021 45 du 6 mai 2021</w:t>
      </w:r>
    </w:p>
    <w:p>
      <w:r>
        <w:t>IT: FR_GERICHTE 102 2021 45 del 6 maggio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manifestement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(cf. art. 51 al. 1 let. a art. 74 al. 1 let. b LTF).</w:t>
      </w:r>
    </w:p>
    <w:p>
      <w:r>
        <w:rPr>
          <w:b/>
        </w:rPr>
        <w:t>E. 1.3</w:t>
      </w:r>
    </w:p>
    <w:p>
      <w:r>
        <w:t>Conformément à l’art. 326 al. 1 CPC, les allégations de faits et les preuves nouvelles sont irrecevables.</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t>Tribunal cantonal TC Page 3 de 5</w:t>
      </w:r>
    </w:p>
    <w:p>
      <w:r>
        <w:rPr>
          <w:b/>
        </w:rPr>
        <w:t>E. 2.2</w:t>
      </w:r>
    </w:p>
    <w:p>
      <w:r>
        <w:t>En l’espèce, force est de constater que la recevabilité de l’acte de recours déposé par A.________ est d’emblée douteuse. En bref, tout comme en première instance déjà, le recourant fait valoir pour l’essentiel qu’il a signé la reconnaissance de dette à l’origine de la procédure de poursuite en sa qualité de responsable de la société D.________ Sàrl, qu’il ne s’est pas engagé à titre privé et qu’il n’a pas commis de faute ayant contribué à la faillite de ladite société, laquelle demeure seule débitrice du montant déduit en poursuite par le créancier poursuivant. Ce faisant, il se borne à reformuler le même grief qu’en première instance – lequel a d’ailleurs été examiné par la Présidente – et ne formule aucune critique à l'encontre du contenu de la décision querellée elle- même, ne remettant pas en cause la motivation de la Présidente conformément au prescrit de l’art. 321 CPC, Par surabondance de motifs, force est de constater que le recourant s’est limité à prendre une conclusion cassatoire – à savoir conclure, implicitement qui plus est, à l’annulation de la décision attaquée –, alors qu’il aurait dû prendre des conclusions réformatoires (cf. ATF 134 III 235 consid. 2). Le recours devrait donc être déclaré irrecevable pour défaut de motivation. En tout état de cause, 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w:t>
      </w:r>
    </w:p>
    <w:p>
      <w:r>
        <w:t>Selon l’art. 82 al. 1 LP,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(ATF 136 III 627 consid. 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(CR LP-GILLIÉRON, 2005, art. 82 n. 40).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(CR LP-GILLIÉRON, art. 82 n. 42).</w:t>
      </w:r>
    </w:p>
    <w:p>
      <w:r>
        <w:rPr>
          <w:b/>
        </w:rPr>
        <w:t>E. 3.1</w:t>
      </w:r>
    </w:p>
    <w:p>
      <w:r>
        <w:t>En l’espèce, il est incontesté – et, surtout, incontestable – que le document signé le 2 juillet 2019 par A.________, lequel est d’ailleurs intitulé « reconnaissance de dette », vaut titre de mainlevée provisoire au sens de l’art. 82 LP.</w:t>
      </w:r>
    </w:p>
    <w:p>
      <w:r>
        <w:rPr>
          <w:b/>
        </w:rPr>
        <w:t>E. 3.2</w:t>
      </w:r>
    </w:p>
    <w:p>
      <w:r>
        <w:t>Le recourant soutient que, contrairement à ce qu’a retenu le premier juge, il n’a pas signé ce document à titre personnel, mais comme représentant de la société à responsabilité limitée dont il était le « responsable », de sorte qu’elle seule est engagée vis-à-vis du créancier poursuivant.</w:t>
      </w:r>
    </w:p>
    <w:p>
      <w:r>
        <w:rPr>
          <w:b/>
        </w:rPr>
        <w:t>E. 3.3</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w:t>
      </w:r>
    </w:p>
    <w:p>
      <w:r>
        <w:t>Tribunal cantonal TC Page 4 de 5 seulement la force probante du titre produit par le créancier, sa nature formelle - et non la validité de la créance - et il lui attribue force exécutoire si le débiteur n'oppose pas immédiatement des exceptions (ATF 136 III 583 consid. 2.3, ATF 132 III 140 consid. 4.1.1).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arrêts cités). L’identité du créancier doit être mentionnée de manière exacte au moment de l’établissement de la reconnaissance de dette. Un contrat conclu par un représentant dans lequel le représenté n’est pas nommément désigné ne permet pas l’octroi de la mainlevée contre ce dernier (ABBET/VEUILLET, La mainlevée de l’opposition, 2017, n. 74 p. 129).</w:t>
      </w:r>
    </w:p>
    <w:p>
      <w:r>
        <w:rPr>
          <w:b/>
        </w:rPr>
        <w:t>E. 3.4</w:t>
      </w:r>
    </w:p>
    <w:p>
      <w:r>
        <w:t>Selon l’art. 809 al. 1 CO, les associés exercent collectivement la gestion de la société à responsabilité limitée. Chaque gérant a le pouvoir de représenter la société (art. 814 al. 1 CO). Les personnes autorisées à représenter la société signent en ajoutant leur signature personnelle à la raison sociale (art. 814 al. 5 CO) ; le droit de la société anonyme s’applique par analogie à l’étendue et à la limitation des pouvoirs de représentation (art. 814 al. 4 CO). En droit de la société anonyme, applicable par analogie vu le renvoi de l’art. 814 al. 4 CO, le conseil d’administration représente la société anonyme à l’égard des tiers, chaque membre du conseil d’administration ayant le pouvoir de représenter la société sauf disposition contraire des statuts ou du règlement d’organisation (art. 718 al. 1 CO) ; le conseil d’administration peut déléguer le pouvoir de représentation à un ou plusieurs de ses membres (délégués) ou à des tiers (directeurs ; art. 718 al. 2 CO). Les personnes autorisées à représenter la société ont le droit d’accomplir au nom de celle-ci tous les actes que peut impliquer le but social (art. 718a al. 1 CO). L’effet de représentation ne se produit que si le représentant agit au nom de la société. Le représentant doit donc se faire connaître comme tel. Ce principe général de la représentation doit se refléter, formellement, dans la signature. En effet, comme dans le droit de la société à responsabilité limitée, en droit de la société anonyme, les personnes autorisées à représenter la société signent en ajoutant leur signature personnelle à la raison sociale (art. 719 CO ; VENTURI/BAUEN, Le conseil d’administration, 2007, p. 176, n. 581). La mention de la raison sociale a pour but d’éviter tout risque de confusion entre les cas où le signataire entend s’engager personnellement et ceux où il agit pour le compte de la société (CR CO-PETER/CAVADINI, 2è éd. 2017, art. 719 n. 2).</w:t>
      </w:r>
    </w:p>
    <w:p>
      <w:r>
        <w:rPr>
          <w:b/>
        </w:rPr>
        <w:t>E. 3.5</w:t>
      </w:r>
    </w:p>
    <w:p>
      <w:r>
        <w:t>En l’espèce, il ne ressort pas expressément de la signature de la reconnaissance de dette produite que A.________ agissait au nom et pour le compte de la société D.________ Sàrl. En effet, la raison sociale de cette société à responsabilité limitée, « dont il était le responsable », ne figure pas à côté de la signature de l’intéressé, contrairement à ce que prescrit l’art. 814 al. 5 CO en cas de représentation. De plus, la formulation choisie, en particulier les termes « je, soussigné, Monsieur A.________ » ou encore « je m’engage à lui verser la somme avant le 31 juillet 2019 », est sans ambiguïté sur le caractère personnel de l’engagement de A.________. Certes, le fondement de la créance semble être un arriéré de salaire, ce qui pourrait laisser penser que A.________ agissait au nom et pour le compte de la société « dont il était le responsable ». Il n’en demeure pas moins qu’à lui seul, cet élément n’est pas déterminant, le débiteur pouvant très bien s’engager parallèlement à la société en difficultés financières. Dans ces circonstances, il faut admettre qu’au stade de la mainlevée d’opposition, la Présidente du tribunal n’a pas fait preuve d’arbitraire en retenant que le document valant reconnaissance de dette signé le 2 juillet 2019 renferme bien un engagement personnel de A.________. Il s’ensuit le rejet du recours.</w:t>
      </w:r>
    </w:p>
    <w:p>
      <w:r>
        <w:t>Tribunal cantonal TC Page 5 de 5</w:t>
      </w:r>
    </w:p>
    <w:p>
      <w:r>
        <w:rPr>
          <w:b/>
        </w:rPr>
        <w:t>E. 4</w:t>
      </w:r>
    </w:p>
    <w:p>
      <w:r>
        <w:t>mars 2021 est confirmée. II. Les frais de procédure de recours sont mis à la charge de A.________. Les frais judiciaires dus à l’Etat, fixés forfaitairement à CHF 200.-, sont prélevés sur l’avance de frais du même montant effectuée le 25 mars 2021. Il n'est pas alloué d’équitable indemnité de partie à titre de dépens à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mai 2021/lda La Présidente : Le Greffier-rapporteur :</w:t>
      </w:r>
    </w:p>
    <w:p>
      <w:r>
        <w:rPr>
          <w:b/>
        </w:rPr>
        <w:t>E. 4.1</w:t>
      </w:r>
    </w:p>
    <w:p>
      <w:r>
        <w:t>Les frais de la procédure de recours doivent être mis à la charge du recourant, qui succombe (art. 106 al. 1 CPC). Ils comprennent les frais judiciaires, fixés forfaitairement à CHF 200.- (art. 48 et 61 al. 1 OELP).</w:t>
      </w:r>
    </w:p>
    <w:p>
      <w:r>
        <w:rPr>
          <w:b/>
        </w:rPr>
        <w:t>E. 4.2</w:t>
      </w:r>
    </w:p>
    <w:p>
      <w:r>
        <w:t>Il n’y a pas lieu d’allouer d’équitable indemnité de partie à titre de dépens à l’intimé qui, bien qu’invité à se déterminer sur le recours, ne s’est pas manifesté dans le délai qui lui a été imparti à cet effet. la Cour arrête : I. Le recours est rejeté, dans la mesure où il est recevable. Partant, la décision de la Présidente du Tribunal civil de l’arrondissement de la Sarine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