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206 vom 7. Dezember 2021</w:t>
      </w:r>
    </w:p>
    <w:p>
      <w:r>
        <w:t>FR Kantonsgericht, 2021-12-07, FR</w:t>
      </w:r>
    </w:p>
    <w:p>
      <w:r>
        <w:rPr>
          <w:b/>
        </w:rPr>
        <w:t xml:space="preserve">Quelle: </w:t>
      </w:r>
      <w:r>
        <w:t>https://mcp.opencaselaw.ch/entscheid/fr_gerichte_102_2021_206</w:t>
      </w:r>
    </w:p>
    <w:p>
      <w:r>
        <w:t>FR: FR_GERICHTE 102 2021 206 du 7 décembre 2021</w:t>
      </w:r>
    </w:p>
    <w:p>
      <w:r>
        <w:t>IT: FR_GERICHTE 102 2021 206 del 7 dicembre 2021</w:t>
      </w:r>
    </w:p>
    <w:p>
      <w:pPr>
        <w:pStyle w:val="Heading2"/>
      </w:pPr>
      <w:r>
        <w:t>Regeste</w:t>
      </w:r>
    </w:p>
    <w:p>
      <w:r>
        <w:t>Arrêt de la IIe Cour d'appel civil du Tribunal cantonal | Betreibung auf Konkurs (Art. 159-196 SchKG)</w:t>
      </w:r>
    </w:p>
    <w:p>
      <w:pPr>
        <w:pStyle w:val="Heading2"/>
      </w:pPr>
      <w:r>
        <w:t>Erwägungen</w:t>
      </w:r>
    </w:p>
    <w:p>
      <w:r>
        <w:rPr>
          <w:b/>
        </w:rPr>
        <w:t>E. 22</w:t>
      </w:r>
    </w:p>
    <w:p>
      <w:r>
        <w:t>novembre 2021. B. Par acte de son mandataire du 30 novembre 2021, A.________ a déposé un recours contre la décision prononçant sa faillite et a conclu à son annulation au motif que la réquisition de faillite a été retirée le 24 novembre 2021, que la situation financière de son entreprise individuelle est stable malgré un contexte sanitaire et économique difficile, et que son chiffre d'affaires mensuel est supérieur à ses charges. Il a en outre sollicité l'effet suspensif. C. La créancière n'a pas été invitée à se déterminer sur le recours. en droit 1. 1.1. Conformément à l'art. 174 al. 1 LP, la décision du juge de la faillite peut, dans les dix jours, faire l'objet d'un recours. La décision attaquée a été notifiée au recourant le 22 novembre 2021. Interjeté le 30 novembre 2021, le recours l’a donc été en temps utile.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in RFJ 2001 p. 69).</w:t>
      </w:r>
    </w:p>
    <w:p>
      <w:r>
        <w:t>Tribunal cantonal TC Page 3 de 4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2.2. La créancière à l'origine de la procédure de faillite a retiré le 24 novembre 2021 sa réquisition de faillite dans la poursuite n° ccc de l'Office des poursuites de la Gruyère (pièce 4 recourant). La condition de l'art. 174 al. 2 ch. 3 LP est ainsi réalisée. 2.3. Il reste à examiner si le recourant a rendu vraisemblable sa solvabilité. Il ressort de l’extrait du registre des poursuites daté du 25 novembre 2021 produit par A.________ (pièce 21 recourant) qu'il comptabilise des poursuites exécutoires à hauteur de CHF 163'894.57, la plus ancienne datant du 7 octobre 2020 et la plus récente du 16 novembre 2021. Même à en déduire les montants mis en poursuite par son bailleur, d'une part, et l’Administration fédérale des contributions, d'autre part, pour lesquels le failli démontre, documents à l’appui, qu’ils ont fait l’objet d’une correction en sa faveur (pièces 22, 25, 28), ainsi que les poursuites acquittées par le failli et le montant du à la créancière à l'origine de la faillite, il reste un solde de poursuites exécutoires de CHF 75'164.50 selon les allégués du recourant. Au surplus, de nombreuses poursuites en cours contre lui se trouvent déjà au stade de la commination de failite ou de la saisie, celles-ci devant être prises en considération au stade de l'examen de la solvabilité, même si elles ne peuvent pas conduire à la faillite (arrêt TC FR 102 2020 197 du 1er décembre 2020 consid. 2.1). Le recourant produit par ailleurs certes un relevé au 31 août 2021 qui indique un chiffre d'affaires de CHF 165'377.82 à cette date (pièce 13 recourant), mais il ne semble plus disposer de cette somme puisqu'il fait valoir que le montant de ses poursuites pourra être acquitté grâce à un prêt de CHF 26'000.- de son amie D.________ (pièce 33 recourant), et à un prêt hypothécaire de CHF 50'000.- au sujet duquel la Banque Raiffeisen a dit accepter d'entrer en matière (pièce 35 recourant). Or, il ne s'agit là que de promesses et non de montants qui seraient à la libre disposition immédiate du recourant ou consigés auprès du Tribunal cantonal en faveur de ses créanciers. Dans ces circonstances,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 3. L’attention du recourant est attirée sur la possibilité d’obtenir la révocation de la faillite aux conditions de l’art. 195 LP.</w:t>
      </w:r>
    </w:p>
    <w:p>
      <w:r>
        <w:t>Tribunal cantonal TC Page 4 de 4 4. La requête d’effet suspensif est sans objet, la Cour ayant directement statué sur le recours au fond. 5. 5.1. 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5.2. Il n'y a pas lieu d'allouer d’équitable indemnité de partie à l’intimée dès lors qu’elle n’a pas été invitée à se déterminer sur le recours. la Cour arrête : I. Le recours de A.________ est rejeté. Partant, la décision de faillite rendue le 30 novembre 2021 par la Présidente du Tribunal civil de l'arrondissement de la Gruyère est confirmée.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2021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