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191 vom 9. Dezember 2021</w:t>
      </w:r>
    </w:p>
    <w:p>
      <w:r>
        <w:t>FR Kantonsgericht, 2021-12-09, FR</w:t>
      </w:r>
    </w:p>
    <w:p>
      <w:r>
        <w:rPr>
          <w:b/>
        </w:rPr>
        <w:t xml:space="preserve">Quelle: </w:t>
      </w:r>
      <w:r>
        <w:t>https://mcp.opencaselaw.ch/entscheid/fr_gerichte_102_2021_191</w:t>
      </w:r>
    </w:p>
    <w:p>
      <w:r>
        <w:t>FR: FR_GERICHTE 102 2021 191 du 9 décembre 2021</w:t>
      </w:r>
    </w:p>
    <w:p>
      <w:r>
        <w:t>IT: FR_GERICHTE 102 2021 191 del 9 dicembre 2021</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630, 1701 Fribourg T +41 26 304 15 00 tribunalcantonal@fr.ch www.fr.ch/tc — Pouvoir Judiciaire PJ Gerichtsbehörden GB 102 2021 191 Arrêt du 9 décembre 2021 IIe Cour d’appel civil Composition Présidente : Dina Beti Juges : Markus Ducret, Michel Favre Greffière-rapporteure : Sandra Ayan-Mantelli Parties A.________ SÀRL, défenderesse et recourante, contre B.________, demandeur et intimé, représenté par Me Patrice Keller, avocat Objet Refus de prolongation de délai – irrecevabilité du recours Recours du 2 novembre 2021 contre la décision de la Présidente du Tribunal des prud'hommes de l'arrondissement de la Gruyère du 14 octobre 2021</w:t>
      </w:r>
    </w:p>
    <w:p>
      <w:r>
        <w:t>Tribunal cantonal TC Page 2 de 3 attendu qu’après l’échec de la procédure de conciliation et la délivrance d’une autorisation de procéder en date du 3 mai 2021, B.________ a introduit, le 12 juillet 2021, devant le Tribunal des prud’hommes de l’arrondissement de la Gruyère (ci-après : le Tribunal), une demande en paiement à l’encontre de la société A.________ Sàrl ; que par ordonnance du 13 juillet 2021, la Présidente du Tribunal a imparti un délai expirant le 13 septembre 2021 à A.________ Sàrl pour déposer sa réponse ; que par courrier du 27 août 2021, A.________ Sàrl a requis la suspension de la procédure jusqu’à droit connu sur la procédure pénale relative au demandeur, requête à laquelle ce dernier s’est opposé le 1er septembre 2021 ; que par décision du 6 septembre 2021, la Présidente a rejeté la requête de suspension et a prolongé d’office au 12 octobre 2021 le délai pour répondre à la demande ; que par courrier du 13 octobre 2021, A.________ Sàrl a demandé une prolongation de délai de 30 jours pour déposer sa réponse ; que par décision du 14 octobre 2021, la Présidente a rejeté cette requête au motif que celle-ci est intervenue après le 12 octobre 2021, soit après l’expiration du délai fixé pour déposer la réponse, si bien qu’elle est tardive conformément à l’art. 144 al. 2 CPC ; qu’en date du 1er novembre 2021, A.________ Sàrl a déposé sa réponse auprès du Tribunal ; que, parallèlement, par acte du 2 novembre 2021, A.________ Sàrl a interjeté un recours contre la décision du 14 octobre 2021 ; qu’en date du 23 novembre 2021, B.________ a conclu à l’irrecevabilité du recours pour défaut de motivation, subsidiairement à son rejet ; qu’aux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 qu’en l’espèce, le recours est dirigé contre une décision rejetant une requête de prolongation de délai ; il s’agit d’une ordonnance d’instruction qui ne peut faire l’objet d’un recours stricto sensu que si elle peut causer un préjudice difficile à réparer au sens de l’art. 319 let. b ch. 2 CPC ; le délai de recours, qui est de 10 jours (art. 321 al. 2 CPC), a été respecté ; en outre, seuls les griefs de violation du droit ou de constatation manifestement inexacte des faits selon l’art. 320 CPC sont invocables (CR CPC-TAPPY, 2ème éd. 2019, art. 144 n. 18) ; que le recours a été déposé auprès de l’autorité compétente (cf. art. 52 de la loi fribourgeoise sur la justice du 31 mai 2010 [LJ ; RSF 130.1] et art. 17 al. 1 let. b du règlement du Tribunal cantonal précisant son organisation et son fonctionnement du 22 novembre 2012 [RTC ; RSF 131.11]), par une partie qui a un intérêt digne de protection (art. 59 al. 2 let. a CPC) ; que le recourant doit toutefois démontrer l’existence d’un préjudice difficilement réparable, condition de recevabilité du recours (CR CPC-HALDY, art. 125 CPC n. 3) ;</w:t>
      </w:r>
    </w:p>
    <w:p>
      <w:r>
        <w:t>Tribunal cantonal TC Page 3 de 3 qu’en l’espèce, la recourante ne motive toutefois aucunement ce point dans son recours, se limitant à indiquer que son droit d’être entendue est violé par la décision entreprise et qu’il lui semblerait adapté de pouvoir bénéficier d’un bref délai pour s’exprimer ; partant, son recours ne remplit pas les exigences de motivation de l’art. 321 al. 1 CPC et doit être déclaré irrecevable ; que, conformément à l’art. 106 CPC, les frais de la procédure de recours sont mis à la charge de la recourante ; qu’il n’est pas perçu de frais judiciaires (art. 114 let. c CPC) ; que les dépens dus par la recourante à l’intimé sont fixés, de manière globale (art. 64 al. 1 let. g RJ), à CHF 200.-- + TVA au taux de 7,7 % par CHF 15,40 ; la Cour arrête : I. Le recours est irrecevable. II. Les frais de la procédure de recours sont mis à la charge de la recourante. Il n’est pas perçu de frais judiciaires. Les dépens dus par A.________ Sàrl à B.________ sont fixés à CHF 200.- + TVA au taux de 7,7 % par CHF 15,40.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