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185 vom 6. Januar 2022</w:t>
      </w:r>
    </w:p>
    <w:p>
      <w:r>
        <w:t>FR Kantonsgericht, 2022-01-06, FR</w:t>
      </w:r>
    </w:p>
    <w:p>
      <w:r>
        <w:rPr>
          <w:b/>
        </w:rPr>
        <w:t xml:space="preserve">Quelle: </w:t>
      </w:r>
      <w:r>
        <w:t>https://mcp.opencaselaw.ch/entscheid/fr_gerichte_102_2021_185</w:t>
      </w:r>
    </w:p>
    <w:p>
      <w:r>
        <w:t>FR: FR_GERICHTE 102 2021 185 du 6 janvier 2022</w:t>
      </w:r>
    </w:p>
    <w:p>
      <w:r>
        <w:t>IT: FR_GERICHTE 102 2021 185 del 6 gennaio 2022</w:t>
      </w:r>
    </w:p>
    <w:p>
      <w:pPr>
        <w:pStyle w:val="Heading2"/>
      </w:pPr>
      <w:r>
        <w:t>Regeste</w:t>
      </w:r>
    </w:p>
    <w:p>
      <w:r>
        <w:t>Arrêt de la IIe Cour d'appel civil du Tribunal cantonal | Rechtsöffnung</w:t>
      </w:r>
    </w:p>
    <w:p>
      <w:pPr>
        <w:pStyle w:val="Heading2"/>
      </w:pPr>
      <w:r>
        <w:t>Erwägungen</w:t>
      </w:r>
    </w:p>
    <w:p>
      <w:r>
        <w:rPr>
          <w:b/>
        </w:rPr>
        <w:t>E. 11</w:t>
      </w:r>
    </w:p>
    <w:p>
      <w:r>
        <w:t>août 2021, A.________ Sàrl y a formé opposition totale. En date du 18 août 2021, la société créancière poursuivante a requis la mainlevée de l'opposition. Par courrier remis le 7 septembre 2021 au greffe du Tribunal civil de la Sarine, A.________ Sàrl s'est déterminée sur la requête, concluant à son rejet. B. Par décision du 1er octobre 2021, le Président du tribunal civil de l'arrondissement de la Sarine (ci-après: le Président) a partiellement admis la requête de mainlevée provisoire à concurrence d'un montant de CHF 5'385.- plus intérêts à 5% l'an dès le 28 juin 2021, ainsi que pour les frais de poursuite, frais judiciaire à la charge de l'opposante. C. Par mémoire du 20 octobre 2021, A.________ Sàrl a interjeté recours contre cette décision. D. Par courrier du 13 novembre 2021, B.________ s'est déterminée sur le recours du 20 octobre 2021, concluant à son rejet.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inférieure à CHF 30'000.- de sorte que seul le recours constitutionnel subsidiaire est ouvert contre le présent arrêt (art. 74 al. 1 let. b et 113 ss LTF). 1.3. 1.3.1.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5 1.3.2. En l'espèce, la recourante fait valoir, au stade du recours, des allégués et moyens qui n'ont pas été soulevés en première instance. Elle a invoqué pour la première fois dans la procédure de recours la réponse du 16 novembre 2020 à un appel d'offres pour des travaux de plâtrerie et de peinture et la mention de A.________ Sàrl comme représentant du maître d'ouvrage dans ce document, document qui n’a du reste pas été produit. Il s’agit là de nouveaux moyens, lesquels sont tardifs au regard de l'art. 326 al. 1 CPC, et ainsi irrecevables. Il n'en sera dès lors pas tenu compte et la Cour statuera sur la base des allégués et des pièces produites en première instance. 2. 2.1. Le Président a retenu que le devis du 30 mars 2021 établi au nom et à l'adresse de A.________ Sàrl pour un montant de CHF 5'385.- vaut titre de mainlevée provisoire puisque le débiteur a attesté par sa signature avoir lu et validé ledit devis. Le Président a en outre précisé qu'il ne lui appartenait pas de revoir ni d'interpréter le titre de mainlevée produit. 2.2. La recourante conteste s'être engagée par la signature du devis du 30 mars 2021. Elle allègue avoir signé ledit devis en sa qualité de représentante des époux D.________, maîtres d'ouvrage. Ainsi, elle soutient ne pas être débitrice de la créance litigieuse. Elle estime en outre, par application de l'art. 32 CO, que le devis lie directement les époux D.________ à l'intimée. Elle en conclut que l'autorité intimée a violé le droit et procédé à une constatation manifestement inexacte des faits en retenant d'une part que le devis du 30 mars 2021 signé par la recourante valait titre de mainlevée provisoire et, d'autre part, qu'il ne lui appartenait pas de revoir ce document ou de l'interpréter. 2.3. De son côté, l'intimée conteste l'existence d'un rapport de représentation entre les époux D.________ et la recourante. Elle allègue que B.________ a signé en son nom un devis établi à son nom. Elle relève que le devis mentionne expressément que les travaux ont été demandés par la direction des travaux, soit la recourante, et non par les maîtres de l'ouvrage. Il lui semble ainsi établi que la recourante agissait en l'absence de tout pouvoir de représentation. Dès lors, elle soutient que le Président n'a pas fait preuve d'arbitraire et n'a pas procédé à une constatation manifestement inexacte des faits en retenant que le devis constitue un titre de mainlevée provisoire liant la recourante en tant que débitrice de la dette. 2.3.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ATF 136 III 627 consid. 2 et les références, 624 consid. 4.2.2;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w:t>
      </w:r>
    </w:p>
    <w:p>
      <w:r>
        <w:t>Tribunal cantonal TC Page 4 de 5 l'impression que les faits allégués se sont produits, sans exclure pour autant la possibilité qu'ils se soient déroulés autrement (ATF 145 III 213 consid. 6.1.3;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arrêt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arrêt TF 5A_867/2018 du 4 mars 2019 consid. 4.1.3; arrêt TF 5A_89/2019 du 1er mai 2019 consid. 5.1.3; arrêt TF 5A_105/2019 du 7 août 2019 consid. 3.3.2). 2.4. En l'espèce, le titre ayant permis à l'intimée d'obtenir la mainlevée d'opposition est un devis daté du 30 mars 2021, établi au nom de la recourante seule et portant sur le démontage et remontage des cloisons de la cuisine de la famille D.________ suite à des mesures non conformes. Ainsi, sur la base du devis du 30 mars 2021 seul, A.________ Sàrl s'est obligée en son nom propre et sans réserve à verser à l'intimée le montant de CHF 5'385.- pour la réalisation des travaux de démontage et remontage des cloisons de la cuisine. Il s’agit bien d’un titre de mainlevée. Au demeurant, la recourante ne conteste pas que les travaux ont été effectués. La recourante ne saurait rendre vraisemblable sa libération en invoquant d'éventuelles créances découlant de relations contractuelles qui existeraient entre elle-même et les époux D.________. Elle ne saurait non plus tirer argument d’une éventuelle relation contractuelle directe entre l’intimée et les époux D.________, découlant d’un rapport de représentation fondé sur l‘art. 32 al. 2 CO pour la seule raison déjà que l'existence des pouvoirs de représentation ou d’un rapport de représentation pour cette commande précise n’a pas été rendue vraisemblable. En effet, le devis contient dans son objet la mention : « Travaux selon demande de la DT» laissant à penser que les travaux ont été ordonnés par la recourante elle-même. Dans ce document, aucune référence n'est faite à un rapport de représentation qui existerait entre les époux D.________ et l'intimée, alors qu’il eût été simple de mentionner le rapport de représentation. Par ailleurs, le titre ne contient aucun renvoi aux différents contrats conclus entre la recourante et les maîtres d'ouvrage, ni au contrat de base d’adjudication. Il y a également lieu de prendre en compte le fait qu’il ne s’agissait pas de travaux de base ordinaires commandés par le propriétaire, mais bien de corrections de défauts à la suite de mesures non conformes, pour lesquels il est vraisemblable que les maîtres d’ouvrage ne voulaient pas s’engager. Il s'ensuit que le devis du 30 mars 2021 signé par la recourante constitue une reconnaissance de dette valant titre de mainlevée provisoire au sens de l'art. 82 LP pour un montant de CHF 5'385.-. 3. Les frais de la procédure de recours doivent être mis à la charge du recourant, qui succombe (art. 106 al. 1 CPC). Ils comprennent les frais judiciaires, fixés forfaitairement à CHF 200.- (art. 48 et 61 al.1 OELP). Il n'y a pas lieu d'allouer de dépens à l'intimé dans le cas d'espèce, lequel n'est pas représenté par un mandataire professionnel.</w:t>
      </w:r>
    </w:p>
    <w:p>
      <w:r>
        <w:t>Tribunal cantonal TC Page 5 de 5 la Cour arrête : I. Le recours est rejeté. Partant, la décision du Président du Tribunal civil de l'arrondissement de la Sarine du 1er octobre 2021 est confirmée. II. Les frais de la procédure de recours sont mis à la charge de A.________ Sàrl.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2022/mga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