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179 vom 16. Dezember 2021</w:t>
      </w:r>
    </w:p>
    <w:p>
      <w:r>
        <w:t>FR Kantonsgericht, 2021-12-16, FR</w:t>
      </w:r>
    </w:p>
    <w:p>
      <w:r>
        <w:rPr>
          <w:b/>
        </w:rPr>
        <w:t xml:space="preserve">Quelle: </w:t>
      </w:r>
      <w:r>
        <w:t>https://mcp.opencaselaw.ch/entscheid/fr_gerichte_102_2021_179</w:t>
      </w:r>
    </w:p>
    <w:p>
      <w:r>
        <w:t>FR: FR_GERICHTE 102 2021 179 du 16 décembre 2021</w:t>
      </w:r>
    </w:p>
    <w:p>
      <w:r>
        <w:t>IT: FR_GERICHTE 102 2021 179 del 16 dicembre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les éléments de faits allégués pour la première fois par A.________ à l’appui du recours, à savoir qu’une somme d’argent aurait été versée sur le compte bancaire de Me D.________ et que E.________ se serait proposé d’acheter personnellement l’entreprise convoitée par la société B.________ SA, dont il était anciennement l’administrateur, sont irrecevables. Il en va de même de la note d’honoraires du 27 novembre 2020 (cf. pièce 5 du bordereau du recours). Il n’en sera dès lors pas tenu compte et la Cour statuera sur la base des faits allégués et des pièces produites en première instance.</w:t>
      </w:r>
    </w:p>
    <w:p>
      <w:r>
        <w:rPr>
          <w:b/>
        </w:rPr>
        <w:t>E. 1.3</w:t>
      </w:r>
    </w:p>
    <w:p>
      <w:r>
        <w:t>La valeur litigieuse est de CHF 25’000.-.</w:t>
      </w:r>
    </w:p>
    <w:p>
      <w:r>
        <w:rPr>
          <w:b/>
        </w:rPr>
        <w:t>E. 2.1</w:t>
      </w:r>
    </w:p>
    <w:p>
      <w:r>
        <w:t>Aux termes de l’art. 82 LP, le créancier dont la poursuite se fonde sur une reconnaissance de dette constatée par acte authentique ou sous seing privé peut requérir la mainlevée provisoire</w:t>
      </w:r>
    </w:p>
    <w:p>
      <w:r>
        <w:t>Tribunal cantonal TC Page 3 de 4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 clairement et directement référence aux documents qui mentionnent le montant de la dette (cf. ATF 139 III 297 consid. 2.3.1 et les arrêts cités). La procédure de mainlevée au sens de l’art. 82 LP n’a pas pour but de constater la réalité ou le bien- 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 il reconnait devoir une somme d’argent déterminée, la procédure de mainlevée provisoire est utile aux créanciers disposant d’une reconnaissance de dette. Faute d’un tel titre de mainlevée, le créancier est contraint d’engager une action en paiement dans le cadre d’un procès ordinaire.</w:t>
      </w:r>
    </w:p>
    <w:p>
      <w:r>
        <w:rPr>
          <w:b/>
        </w:rPr>
        <w:t>E. 2.2</w:t>
      </w:r>
    </w:p>
    <w:p>
      <w:r>
        <w:t>En l’espèce, la Présidente ad hoc a considéré que A.________ ne disposait d’aucune reconnaissance de dette au sens de l’art. 82 LP. Elle a retenu que de nombreuses irrégularités dans la « Promesse d’achat » produite à l’appui de la requête permettait de douter de la validité du document, ceci d’autant plus que l’un des représentants de l’intimée, à savoir E.________, contestait formellement l’avoir signé. La Cour retient que la décision de la Présidente ad hoc ne prête pas le flanc à la critique. En effet, quand bien même la deuxième représentante de l’intimée devait avoir été en mesure d’engager valablement l’intimée avec sa signature à l’époque des faits, comme l’allègue le recourant, on ne saurait faire fi du fait que le notaire chargé de l’instrumentalisation de la « Promesse d’achat » assure ne jamais être intervenu. En effet, non seulement un des cosignataires soutient que sa signature a été falsifiée, mais Me D.________ explique ne jamais avoir eu affaire aux parties (cf. pièce 14 du bordereau de l’intimée). Faute de reconnaissance de dette, et partant de titre de mainlevée provisoire, le recourant n’est donc pas en mesure d’obtenir la mainlevée de l’opposition. Pour faire reconnaître son droit, il appartiendra à A.________ d’introduire à l’encontre de l’intimée une action en reconnaissance de dette au sens de l’art. 79 al. 1 LP, laquelle lui permettra de faire valoir l’ensemble de ses arguments et moyens de preuve. Il s’ensuit le rejet du recours et la confirmation de la décision attaquée.</w:t>
      </w:r>
    </w:p>
    <w:p>
      <w:r>
        <w:rPr>
          <w:b/>
        </w:rPr>
        <w:t>E. 3.1</w:t>
      </w:r>
    </w:p>
    <w:p>
      <w:r>
        <w:t>Les frais de la procédure de recours doivent être mis à la charge de A.________, qui succombe (art. 106 al. 1 CPC). Ils comprennent les frais judiciaires, fixés forfaitairement à CHF 500.- (art. 48 et 61 al. 1 OELP).</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4 de 4 En l'espèce, compte tenu de ces critères, les dépens en faveur de B.________ SA pour la procédure de recours seront arrêtés globalement à la somme de CHF 1’077.-, TVA par CHF 77.- comprise. la Cour arrête : I. Le recours est rejeté. Partant, la décision de la Présidente ad hoc du Tribunal civil de l’arrondissement de la Gruyère du 27 septembre 2021 est confirmée. II. Les frais de la procédure de recours sont mis à la charge de A.________. Les frais judiciaires sont fixés à CHF 500.- et prélevés sur l’avance versée. Les dépens de B.________ SA pour la procédure de recours sont fixés globalement à la somme de CHF 1'077.-, TVA par CHF 77.-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décembre 2021/sag La Présidente : Le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