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153 vom 23. September 2021</w:t>
      </w:r>
    </w:p>
    <w:p>
      <w:r>
        <w:t>FR Kantonsgericht, 2021-09-23, FR</w:t>
      </w:r>
    </w:p>
    <w:p>
      <w:r>
        <w:rPr>
          <w:b/>
        </w:rPr>
        <w:t xml:space="preserve">Quelle: </w:t>
      </w:r>
      <w:r>
        <w:t>https://mcp.opencaselaw.ch/entscheid/fr_gerichte_102_2021_153</w:t>
      </w:r>
    </w:p>
    <w:p>
      <w:r>
        <w:t>FR: FR_GERICHTE 102 2021 153 du 23 septembre 2021</w:t>
      </w:r>
    </w:p>
    <w:p>
      <w:r>
        <w:t>IT: FR_GERICHTE 102 2021 153 del 23 settembre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26 août 2021 ; interjeté le 3 septembre 2021,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w:t>
      </w:r>
    </w:p>
    <w:p>
      <w:r>
        <w:rPr>
          <w:b/>
        </w:rPr>
        <w:t>E. 2.2</w:t>
      </w:r>
    </w:p>
    <w:p>
      <w:r>
        <w:t>En l’espèce, non seulement la recourante n’a pas fourni la preuve du paiement de la créance à l'origine de la réquisition de faillite, de sorte que la première condition à l'annulation de la faillite n'est pas remplie, mais elle n’a pas non plus produit de pièces attestant de la vraisemblance de sa solvabilité, comme un extrait bancaire ou des pièces comptables. Le bon de commande d'une société sise à Singapour ne constitue qu'une simple allégation et n'est pas suffisant pour rendre vraisemblable sa solvabilité.</w:t>
      </w:r>
    </w:p>
    <w:p>
      <w:r>
        <w:rPr>
          <w:b/>
        </w:rPr>
        <w:t>E. 2.3</w:t>
      </w:r>
    </w:p>
    <w:p>
      <w:r>
        <w:t>La recourante objecte que la décision de faillite a été rendue alors que son associé gérant était en déplacement à l'étranger. Or, s’agissant d’une procédure sommaire, le juge statue sans retard et même en l’absence des parties, conformément à l’art. 171 LP. Pour éviter la faillite, il incombait à la recourante de payer la dette objet de la réquisition de faillite avant l'audience du 23 août 2021, comme indiqué dans la citation à comparaître du 8 juillet 2021, qui a été notifiée à l'associé gérant en personne.</w:t>
      </w:r>
    </w:p>
    <w:p>
      <w:r>
        <w:t>Tribunal cantonal TC Page 3 de 3</w:t>
      </w:r>
    </w:p>
    <w:p>
      <w:r>
        <w:rPr>
          <w:b/>
        </w:rPr>
        <w:t>E. 2.4</w:t>
      </w:r>
    </w:p>
    <w:p>
      <w:r>
        <w:t>Compte tenu de ce qui précède, aucune des conditions de l’art. 174 al. 2 LP n’est remplie en l’espèce, de sorte que le recours, manifestement infondé, doit être rejeté sans échange d'écritures (art. 322 CPC).</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n'y a pas lieu d'allouer d’équitable indemnité de partie à l’intimée, dès lors qu’elle n’a pas été invitée à se déterminer sur le recours. la Cour arrête : I. Le recours est rejeté. Partant, la décision de faillite rendue le 23 août 2021 par le Président du Tribunal civil de l'arrondissement de la Sarine est confirmée. II. Les frais de la procédure de recours sont mis à la charge de A.________ Sàrl en liquidation. Les frais judiciaires dus à l’Etat sont fixés à CHF 500.- (émolument forfaitaire).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septembre 2021/dbe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