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138 vom 19. August 2021</w:t>
      </w:r>
    </w:p>
    <w:p>
      <w:r>
        <w:t>FR Kantonsgericht, 2021-08-19, FR</w:t>
      </w:r>
    </w:p>
    <w:p>
      <w:r>
        <w:rPr>
          <w:b/>
        </w:rPr>
        <w:t xml:space="preserve">Quelle: </w:t>
      </w:r>
      <w:r>
        <w:t>https://mcp.opencaselaw.ch/entscheid/fr_gerichte_102_2021_138</w:t>
      </w:r>
    </w:p>
    <w:p>
      <w:r>
        <w:t>FR: FR_GERICHTE 102 2021 138 du 19 août 2021</w:t>
      </w:r>
    </w:p>
    <w:p>
      <w:r>
        <w:t>IT: FR_GERICHTE 102 2021 138 del 19 agosto 2021</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de CHF 19'800.-.</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le débiteur ne contient aucune motivation idoine. En effet, il se borne à indiquer, comme en première instance, qu’il n’a pas les moyens financiers de s’acquitter des pensions alimentaires réclamées, sa situation financière s’étant dégradée depuis le jugement l’astreignant à payer ces pensions, et à soutenir qu’il a introduit une demande de modification de jugement de divorce qui est en cours. Il ne tente cependant pas de critiquer la motivation de la Présidente, selon laquelle le requérant est au bénéfice d’un titre de</w:t>
      </w:r>
    </w:p>
    <w:p>
      <w:r>
        <w:t>Tribunal cantonal TC Page 3 de 4 mainlevée définitive à l’égard de l’opposant qui n’a pas produit de jugement modifiant la contribution d’entretien, et qu’aucun moyen libératoire au sens de l’art. 81 al. 1 LP n’a été soulevé. Par voie de conséquence, à défaut de répondre aux exigences de motivation posées par l’art. 321 al. 1 CPC, le recours doit être déclaré irrecevable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et/ou dans sa justification en fait.</w:t>
      </w:r>
    </w:p>
    <w:p>
      <w:r>
        <w:rPr>
          <w:b/>
        </w:rPr>
        <w:t>E. 3.1</w:t>
      </w:r>
    </w:p>
    <w:p>
      <w:r>
        <w:t>De jurisprudence constante, la procédure de mainlevée,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La mainlevée définitive de l’opposition n’est accordée que si le jugement oblige le débiteur à payer une somme d’argent déterminée, c’est-à-dire chiffrée ou tout du moins facilement déterminable quant à son montant. Le juge de la mainlevée peut aussi prendre en considération les motifs du jugement pour décider si ce dernier constitue un titre de mainlevée au sens de l’art. 80 al. 1 LP (ATF 134 III 656 consid. 5.3.2); ce n’est que si le sens du dispositif est douteux et que ce doute ne peut être levé à l’examen des motifs que la mainlevée doit être refusée. Il ne lui appartient toutefois pas de se prononcer sur l’existence matérielle de la prétention ou sur le bien-fondé du jugement. Si le jugement est peu clair ou incomplet, il appartient au juge du fond de l’interpréter (ATF 138 III 586 consid. 6.1.1; ATF 135 III 315 consid. 2.3; arrêt TF 5A_487/2011 du 2 septembre 2011 consid. 3.1).</w:t>
      </w:r>
    </w:p>
    <w:p>
      <w:r>
        <w:rPr>
          <w:b/>
        </w:rPr>
        <w:t>E. 3.2</w:t>
      </w:r>
    </w:p>
    <w:p>
      <w:r>
        <w:t>En l’espèce, le recourant ne conteste pas que l’intimé est au bénéfice d’un titre de mainlevée valable, mais allègue qu’il n’est financièrement pas en mesure de payer les pensions alimentaires réclamées et fixées par jugement du Tribunal civil de l’arrondissement de la Gruyère du 21 mai 2008. Toutefois, ce n’est pas au juge de la mainlevée d’examiner si la créance est valide ou non, pas plus qu’il ne saurait se prononcer sur la question de savoir si le débiteur peut ou non payer la somme qui lui incombe. La recourant a introduit une procédure de modification du jugement de divorce du 21 mai 2008 qui est actuellement pendante. Il appartiendra à l’autorité saisie de cette procédure d’examiner si les pensions alimentaires doivent être adaptées, comme le prétend le recourant. Cependant, en l’état, en l’absence de jugement définitif et exécutoire modifiant le jugement entré en force du 21 mai 2008, celui-ci vaut titre de mainlevée définitif pour les montants en poursuite. Le recourant n’a quant à lui pas prouvé que la dette a été éteinte ou qu’il a obtenu un sursis et ne s’est pas prévalu de la prescription.</w:t>
      </w:r>
    </w:p>
    <w:p>
      <w:r>
        <w:rPr>
          <w:b/>
        </w:rPr>
        <w:t>E. 4</w:t>
      </w:r>
    </w:p>
    <w:p>
      <w:r>
        <w:t>Les frais de la procédure de recours sont mis à la charge du recourant qui succombe (art. 106 CPC, 48 et 61 al. 1 OELP).</w:t>
      </w:r>
    </w:p>
    <w:p>
      <w:r>
        <w:t>Tribunal cantonal TC Page 4 de 4</w:t>
      </w:r>
    </w:p>
    <w:p>
      <w:r>
        <w:rPr>
          <w:b/>
        </w:rPr>
        <w:t>E. 4.1</w:t>
      </w:r>
    </w:p>
    <w:p>
      <w:r>
        <w:t>Les frais judiciaires sont fixés forfaitairement à CHF 250.- (art. 48 et 61 al. 1 OELP) et seront prélevés sur l’avance de frais effectuée le 2 août 2021 par A.________.</w:t>
      </w:r>
    </w:p>
    <w:p>
      <w:r>
        <w:rPr>
          <w:b/>
        </w:rPr>
        <w:t>E. 4.2</w:t>
      </w:r>
    </w:p>
    <w:p>
      <w:r>
        <w:t>Il n'est pas alloué de dépens à l’intimé, qui n’a pas été invité à se déterminer sur le recours, conformément au prescrit de l’art. 322 al. 1 CPC. la Cour arrête : I. Le recours est irrecevable. II. Les frais de la procédure de recours sont mis à la charge de A.________. Les frais judiciaires sont fixés à CHF 250.- et seront prélevés sur l’avance de frais du même montant effectuée le 2 août 2021.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août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