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133 vom 5. August 2021</w:t>
      </w:r>
    </w:p>
    <w:p>
      <w:r>
        <w:t>FR Kantonsgericht, 2021-08-05, FR</w:t>
      </w:r>
    </w:p>
    <w:p>
      <w:r>
        <w:rPr>
          <w:b/>
        </w:rPr>
        <w:t xml:space="preserve">Quelle: </w:t>
      </w:r>
      <w:r>
        <w:t>https://mcp.opencaselaw.ch/entscheid/fr_gerichte_102_2021_133</w:t>
      </w:r>
    </w:p>
    <w:p>
      <w:r>
        <w:t>FR: FR_GERICHTE 102 2021 133 du 5 août 2021</w:t>
      </w:r>
    </w:p>
    <w:p>
      <w:r>
        <w:t>IT: FR_GERICHTE 102 2021 133 del 5 agosto 2021</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 s’agissant des faits, elle est limitée à leur constatation manifestement inexacte (art. 320 CPC).</w:t>
      </w:r>
    </w:p>
    <w:p>
      <w:r>
        <w:rPr>
          <w:b/>
        </w:rPr>
        <w:t>E. 1.2</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Au vu de ce qui précède, la formule officielle de notification de loyer ainsi que les dispositions paritaires romandes et règles et usages locatifs du canton de Vaud, produites par A.________ pour la première fois à l’appui de son recours, sont irrecevables. Il n’en sera dès lors pas tenu compte et la Cour statuera sur la base des pièces produites en première instance.</w:t>
      </w:r>
    </w:p>
    <w:p>
      <w:r>
        <w:rPr>
          <w:b/>
        </w:rPr>
        <w:t>E. 1.3</w:t>
      </w:r>
    </w:p>
    <w:p>
      <w:r>
        <w:t>La valeur litigieuse est inférieure à CHF 30'000.- (cf. art. 51 al. 1 let. a art. 74 al. 1 let. b LTF).</w:t>
      </w:r>
    </w:p>
    <w:p>
      <w:r>
        <w:rPr>
          <w:b/>
        </w:rPr>
        <w:t>E. 2.1</w:t>
      </w:r>
    </w:p>
    <w:p>
      <w:r>
        <w:t>En vertu de l'art. 321 al. 1 CPC, le recours doit être motivé, ce qui suppose de démontrer le caractère erroné de la motivation attaquée, sous peine d'irrecevabilité ; pour satisfaire à cette</w:t>
      </w:r>
    </w:p>
    <w:p>
      <w:r>
        <w:t>Tribunal cantonal TC Page 3 de 5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(cf. ATF 138 III 374 consid. 4.3.1 et arrêt TF 5A_82/2013 du 18 mars 2013 consid. 3.2).</w:t>
      </w:r>
    </w:p>
    <w:p>
      <w:r>
        <w:rPr>
          <w:b/>
        </w:rPr>
        <w:t>E. 2.2</w:t>
      </w:r>
    </w:p>
    <w:p>
      <w:r>
        <w:t>En l’espèce, force est de constater que le recours déposé par A.________ ne contient aucune motivation idoine, étant rappelé que les pièces nouvellement produites, sur lesquelles le recourant fonde son argumentation, sont irrecevables en procédure de recours. Le recourant expose que la poursuivie a signé un bail à loyer en bonne et due forme le 11 septembre 2017 et requiert, par voie de conséquence, la levée de l’opposition. Ce faisant, à aucun moment le recourant ne tente de critiquer la motivation de la Présidente, laquelle a en substance considéré que, faute de joindre la formule officielle au contrat de bail de l’appartement produit à l’appui de la requête de mainlevée, celui-ci ne constituait pas une reconnaissance de dette. A défaut de répondre aux exigences de motivation posées par l’art. 321 al. 1 CPC, le recours doit être déclaré irrecevable.</w:t>
      </w:r>
    </w:p>
    <w:p>
      <w:r>
        <w:rPr>
          <w:b/>
        </w:rPr>
        <w:t>E. 3.1</w:t>
      </w:r>
    </w:p>
    <w:p>
      <w:r>
        <w:t>Quand bien même recevable, le recours devrait de toute façon être rejeté dans la mesure où il est manifestement mal fondé, la décision attaquée ne comportant en définitive aucune erreur, que ce soit dans l’application du droit ou dans sa justification en fait.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(cf. ATF 139 III 297 consid. 2.3.1; 132 III 480 consid. 4.1). La procédure de mainlevée – définitive ou provisoire – est une pure procédure d'exécution forcée constituant un incident de la poursuite ; il s'agit d'une procédure sur pièces qui n'a pas pour objet de statuer sur la réalité de la prétention en poursuite, mais uniquement sur la force exécutoire du titre produit par le poursuivant (cf. ATF 136 III 583 consid. 2.3). Un contrat écrit justifie en principe la mainlevée provisoire de l'opposition pour la somme d'argent incombant au poursuivi si les conditions d'exigibilité de la dette sont établies. Le contrat de bail constitue une reconnaissance de dette pour le loyer et le fermage échus et pour le droit de rétention, si l'objet du contrat a été mis à la disposition du locataire et n'est pas entaché de défauts tels que l'usage s'en trouve affecté. La conclusion d'un bail à loyer est en principe valable sans forme, à l'exception des dispositions relatives à la protection contre les loyers abusifs ou d'autres prétentions abusives du bailleur des art. 269d et 270 al. 2 CO, selon lesquelles l'usage de la formule officielle peut être rendu obligatoire par les cantons qui subissent une pénurie de logements. Le canton de Vaud a fait usage de cette possibilité pour les baux d'habitations sises sur son territoire et le Conseil d'Etat a rendu obligatoire cette formule (art. 1 de la loi du 7 mars 1993 sur l’utilisation d’une formule officielle au changement de locataire [LFOCL; RS-VD 221.315] et arrêté du 26 mars 2014 sur l’obligation de l’utilisation de la formule officielle au changement de locataire [ALFOCL ; RS-VD</w:t>
      </w:r>
    </w:p>
    <w:p>
      <w:r>
        <w:t>Tribunal cantonal TC Page 4 de 5 221.315.1]). Cette obligation a toutefois été levée en date du 1er janvier 2021 pour les districts d’Aigle et de Broye-Vully (art. 1 de l’arrêté du 16 décembre 2020 sur l’obligation de l’utilisation de la formule officielle au changement de locataire [ALFOCL ; RS-VD 221.315.1]. Lorsque le bailleur ne fait pas usage de la formule officielle prescrite par l'art. 270 al. 2 CO, ce vice de forme implique la nullité partielle du contrat de bail, sous l'angle de la fixation du montant du loyer (cf. ATF 140 III 583 consid. 3.2.1), lequel doit être déterminé par le juge du fond (cf. ATF 124 III 62 consid. 2). Le juge de la mainlevée n'est pas compétent pour procéder à une telle appréciation. Partant, dans les cantons où le loyer initial doit obligatoirement être notifié au moyen d'une formule officielle, le bailleur doit produire cette formule, faute de quoi le contrat de bail ne constitue pas un titre de mainlevée valable (cf. arrêt TC FR 102 2021 95 du 12 juillet 2021, consid. 2.2. ; TRÜMPY, La mainlevée d'opposition provisoire en droit du bail – Le titre, les exceptions, et la nouvelle procédure civile, BlSchK 2010 p. 106 s.; HACK, Formalisme et durée: quelques développements récents en droit du bail in: JdT 2007 II 4, supplément hors édition p. 5 al. 1 in fine).</w:t>
      </w:r>
    </w:p>
    <w:p>
      <w:r>
        <w:rPr>
          <w:b/>
        </w:rPr>
        <w:t>E. 3.2</w:t>
      </w:r>
    </w:p>
    <w:p>
      <w:r>
        <w:t>En l’espèce, eu égard aux loyers impayés de l’appartement, le recourant n’a pas produit un titre de mainlevée valable à l’appui de sa requête. Celle-ci était en effet uniquement fondée sur le contrat de bail à loyer conclu le 11 septembre 2017. Or, l’immeuble loué étant situé dans le canton de Vaud, district de la Broye-Vully, et le contrat ayant été signé avant le 1er janvier 2021, il était indispensable de joindre la formule officielle prévue à l’art. 270 al. 2 CO au contrat de bail susmentionné pour que celui-ci constitue un titre de mainlevée. Le contrat de bail ne constituant pas à lui seul un titre de mainlevée, faute d’avoir produit ce document, c’est à juste titre que la Présidente a refusé de prononcer la mainlevée de l’opposition eu égard aux loyers impayés de l’appartement. En effet, le juge de la mainlevée n'a pas à examiner la validité de la créance déduite en poursuite, son rôle se limitant à la constatation de l'existence ou non d'un titre de mainlevée exécutoire.</w:t>
      </w:r>
    </w:p>
    <w:p>
      <w:r>
        <w:rPr>
          <w:b/>
        </w:rPr>
        <w:t>E. 4.1</w:t>
      </w:r>
    </w:p>
    <w:p>
      <w:r>
        <w:t>Les frais de la procédure de recours doivent être mis à la charge du recourant, qui succombe (art. 106 al. 1 CPC). Ils comprennent les frais judiciaires, fixés forfaitairement à CHF 250.- (art. 48 et 61 al. 1 OELP). Ils seront prélevés sur l'avance de frais du recourant.</w:t>
      </w:r>
    </w:p>
    <w:p>
      <w:r>
        <w:rPr>
          <w:b/>
        </w:rPr>
        <w:t>E. 4.2</w:t>
      </w:r>
    </w:p>
    <w:p>
      <w:r>
        <w:t>Il n'est pas alloué de dépens à l'intimée, qui n'a pas été invitée à se déterminer. (dispositif en page suivante)</w:t>
      </w:r>
    </w:p>
    <w:p>
      <w:r>
        <w:t>Tribunal cantonal TC Page 5 de 5 la Cour arrête : I. Le recours est irrecevable. II. Les frais judiciaires de la procédure de recours, fixés à CHF 250.-, sont mis à la charge de A.________. III. Il n'est pas alloué de dépens à B.________.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5 août 2021/sag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