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125 vom 19. Juli 2021</w:t>
      </w:r>
    </w:p>
    <w:p>
      <w:r>
        <w:t>FR Kantonsgericht, 2021-07-19, FR</w:t>
      </w:r>
    </w:p>
    <w:p>
      <w:r>
        <w:rPr>
          <w:b/>
        </w:rPr>
        <w:t xml:space="preserve">Quelle: </w:t>
      </w:r>
      <w:r>
        <w:t>https://mcp.opencaselaw.ch/entscheid/fr_gerichte_102_2021_125</w:t>
      </w:r>
    </w:p>
    <w:p>
      <w:r>
        <w:t>FR: FR_GERICHTE 102 2021 125 du 19 juillet 2021</w:t>
      </w:r>
    </w:p>
    <w:p>
      <w:r>
        <w:t>IT: FR_GERICHTE 102 2021 125 del 19 luglio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manifestement supérieure à CHF 30'000.-, si bien que la voie du recours en matière civile au Tribunal fédéral est ouverte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Le recourant a produit, au stade du recours seulement, une pièce qui ne figurait pas dans le dossier de première instance. Ce nouveau moyen, tardif au regard de l’art. 326 al. 1 CPC, est donc irrecevable. Il n’en sera dès lors pas tenu compte et la Cour statuera sur la base du dossier de première instance. En tout état de cause, à supposer recevable, cette pièce n’aurait de toute manière pas été d’un grand secours pour le recourant dans la mesure où elle n’est pas pertinente pour l’issue de la cause.</w:t>
      </w:r>
    </w:p>
    <w:p>
      <w:r>
        <w:t>Tribunal cantonal TC Page 3 de 4</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le débiteur ne contient aucune motivation idoine. En effet, le recourant ne critique aucunement les motifs pertinents de la Présidente – qui a retenu, d’une part, que la créancière poursuivante avait produit un contrat de crédit valant reconnaissance de dette, et, d’autre part, que le débiteur poursuivi n’a pas rendu vraisemblable sa libération, de sorte que la mainlevée provisoire devait être prononcée –, mais se borne pour l’essentiel à reformuler les mêmes griefs qu’en première instance. Par surabondance de motifs, force est de constater que le recourant s’est limité à prendre une conclusion cassatoire – à savoir conclure à l’annulation de la décision attaquée –, alors qu’il aurait dû prendre des conclusions réformatoires (cf. ATF 134 III 235 consid. 2).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Le jugement de mainlevée provisoire ne sortit que des effets de droit des poursuites et ne fonde pas l'exception de chose jugée quant à l'existence de la créance (ATF 136 III 583 consid. 2.3 et réf. citées).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Un contrat de prêt d’une somme d’argent déterminée signé par l’emprunteur justifie en principe la mainlevée provisoire de l'opposition pour le remboursement du prêt pour autant que le débiteur ne conteste pas avoir reçu la somme prêtée et que le remboursement soit exigible lors de la notification du commandement de payer.</w:t>
      </w:r>
    </w:p>
    <w:p>
      <w:r>
        <w:rPr>
          <w:b/>
        </w:rPr>
        <w:t>E. 3.2</w:t>
      </w:r>
    </w:p>
    <w:p>
      <w:r>
        <w:t>En l’espèce, la Présidente a considéré et retenu que le contrat de prêt produit par la requérante à l’appui de sa requête de mainlevée constitue une reconnaissance de dette au sens de l’art. 82 LP, que ce contrat a été dûment résilié de sorte que le remboursement du solde du prêt est devenu exigible dès réception par l’opposant du courrier de résiliation. L’opposant a fait valoir que l’immeuble ayant fait l’objet du contrat de prêt avait été vendu et que les prêts avaient été</w:t>
      </w:r>
    </w:p>
    <w:p>
      <w:r>
        <w:t>Tribunal cantonal TC Page 4 de 4 entièrement remboursés au moyen du produit de cette vente sans toutefois produire de pièces à l’appui de ses allégations de sorte que la Présidente a constaté qu’il n’avait pas rendu vraisemblable sa libération. Le recourant ne le conteste pas véritablement se contentant de répéter les mêmes arguments, soit que les prêts ont été soldés dans leur intégralité au moyen du produit réalisé. Dans ces circonstances, la procédure de mainlevée étant une procédure sur titre qui s’accompagne d’un formalisme certain, c’est à juste titre que la Présidente a prononcé la mainlevée provisoire de l’opposition.</w:t>
      </w:r>
    </w:p>
    <w:p>
      <w:r>
        <w:rPr>
          <w:b/>
        </w:rPr>
        <w:t>E. 4.1</w:t>
      </w:r>
    </w:p>
    <w:p>
      <w:r>
        <w:t>Les frais de la procédure de recours sont mis à la charge de A.________, qui succombe (art. 106 al. 1 CPC). Ils comprennent les frais judiciaires, fixés forfaitairement à CHF 450.- (art. 48 et 61 al. 1 OELP) ), qui seront prélevés sur l’avance de frais du même montant effectuée le 22 avril 2021..</w:t>
      </w:r>
    </w:p>
    <w:p>
      <w:r>
        <w:rPr>
          <w:b/>
        </w:rPr>
        <w:t>E. 4.2</w:t>
      </w:r>
    </w:p>
    <w:p>
      <w:r>
        <w:t>Il n’est pas alloué de dépens à l’intimée qui n’a pas été invitée à se déterminer (art. 322 al. 1 CPC) conformément au prescrit de l’art. 322 al. 1 CPC. la Cour arrête : I. Le recours est irrecevable. II. Les frais de la procédure de recours sont mis à la charge de A.________. Les frais judiciaires sont fixés à CHF 450.- et seront prélevés sur l’avance de frais du même montant effectuée le 12 juillet 2021.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juillet 2021/cov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