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117 vom 2. August 2021</w:t>
      </w:r>
    </w:p>
    <w:p>
      <w:r>
        <w:t>FR Kantonsgericht, 2021-08-02, FR</w:t>
      </w:r>
    </w:p>
    <w:p>
      <w:r>
        <w:rPr>
          <w:b/>
        </w:rPr>
        <w:t xml:space="preserve">Quelle: </w:t>
      </w:r>
      <w:r>
        <w:t>https://mcp.opencaselaw.ch/entscheid/fr_gerichte_102_2021_117</w:t>
      </w:r>
    </w:p>
    <w:p>
      <w:r>
        <w:t>FR: FR_GERICHTE 102 2021 117 du 2 août 2021</w:t>
      </w:r>
    </w:p>
    <w:p>
      <w:r>
        <w:t>IT: FR_GERICHTE 102 2021 117 del 2 agosto 2021</w:t>
      </w:r>
    </w:p>
    <w:p>
      <w:pPr>
        <w:pStyle w:val="Heading2"/>
      </w:pPr>
      <w:r>
        <w:t>Regeste</w:t>
      </w:r>
    </w:p>
    <w:p>
      <w:r>
        <w:t>Arrêt de la IIe Cour d'appel civil du Tribunal cantonal | Rechtsöffnung</w:t>
      </w:r>
    </w:p>
    <w:p>
      <w:pPr>
        <w:pStyle w:val="Heading2"/>
      </w:pPr>
      <w:r>
        <w:t>Erwägungen</w:t>
      </w:r>
    </w:p>
    <w:p>
      <w:r>
        <w:rPr>
          <w:b/>
        </w:rPr>
        <w:t>E. 31</w:t>
      </w:r>
    </w:p>
    <w:p>
      <w:r>
        <w:t>décembre de chaque année, la première fois le 31 décembre 2017, et que ce document constitue une reconnaissance de dette au sens de l'art. 82 al. 1 LP. Il a en outre relevé que les arguments soulevés par le débiteur – un contrat de cession d'actions par lequel il cède, sans contreprestation, à D.________ 100 actions nominatives de CHF 1'000.- chacune, entièrement libérées, qu’il détient dans la société E.________ SA, actions cédées par la suite à B.________ SA, cession invoquée en compensation du prêt du 31 juillet 2017 – ne permettaient pas de rendre immédiatement vraisemblable sa libération au sens de l'art. 82 al. 2 LP, de sorte que la mainlevée provisoire devait être prononcée. Force est de constater que l’acte de recours déposé par A.________ ne contient aucune motivation idoine à l'encontre de cette argumentation. Il soutient uniquement, sur la base d'allégations de faits nouvelles – lesquelles sont irrecevables à ce stade de la procédure (consid. 1.2. ci-avant) –, que le prêt qui fait l'objet du contrat du 31 juillet 2017, était une transaction fiduciaire effectuée en urgence et destinée à protéger la société de D.________, que les actions cédées avaient une valeur largement supérieure au prêt, et que le contrat a été signé sous la contrainte, la créancière ayant au surplus fait preuve d'un comportement abusif à son égard pendant une hospitalisation entre le 19 avril et le 30 mai 2020. Il n'expose cependant pas en quoi, sur la base des éléments dont elle disposait, l'autorité précédente aurait eu tort de prononcer la mainlevée provisoire de son opposition, soit pour quels motifs les conditions de l’art. 82 LP ne seraient pas remplies. Compte tenu de ce qui précède, le recours doit être rejeté dans la mesure de sa recevabilité.</w:t>
      </w:r>
    </w:p>
    <w:p>
      <w:r>
        <w:t>Tribunal cantonal TC Page 4 de 4 3. 3.1. Les frais de la procédure de recours, fixés forfaitairement à CHF 500.-, sont mis à la charge de A.________ qui succombe (art. 106 al. 1 CPC). Ils seront prélevés sur l’avance de frais effectuée par le recourant (art. 48 et 61 OELP).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SA sont fixés de manière globale à CHF 753.90, TVA par CHF 53.90 comprise. la Cour arrête : I. Le recours est rejeté dans la mesure de sa recevabilité. Partant la décision du Président du Tribunal civil de l'arrondissement de la Gruyère du 6 mai 2021 est confirmée. II. Les frais de la procédure de recours sont mis à la charge de A.________. Les frais judiciaires sont fixés à CHF 500.- et prélevés sur l'avance de frais versée. III. Les dépens de B.________ SA sont fixés à CHF 753.90, TVA par CHF 53.90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2021/dbe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