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98 vom 7. Juli 2020</w:t>
      </w:r>
    </w:p>
    <w:p>
      <w:r>
        <w:t>FR Kantonsgericht, 2020-07-07, FR</w:t>
      </w:r>
    </w:p>
    <w:p>
      <w:r>
        <w:rPr>
          <w:b/>
        </w:rPr>
        <w:t xml:space="preserve">Quelle: </w:t>
      </w:r>
      <w:r>
        <w:t>https://mcp.opencaselaw.ch/entscheid/fr_gerichte_102_2020_98</w:t>
      </w:r>
    </w:p>
    <w:p>
      <w:r>
        <w:t>FR: FR_GERICHTE 102 2020 98 du 7 juillet 2020</w:t>
      </w:r>
    </w:p>
    <w:p>
      <w:r>
        <w:t>IT: FR_GERICHTE 102 2020 98 del 7 luglio 2020</w:t>
      </w:r>
    </w:p>
    <w:p>
      <w:pPr>
        <w:pStyle w:val="Heading2"/>
      </w:pPr>
      <w:r>
        <w:t>Regeste</w:t>
      </w:r>
    </w:p>
    <w:p>
      <w:r>
        <w:t>Arrêt de la IIe Cour d'appel civil du Tribunal cantonal | Rechtsöffnung</w:t>
      </w:r>
    </w:p>
    <w:p>
      <w:pPr>
        <w:pStyle w:val="Heading2"/>
      </w:pPr>
      <w:r>
        <w:t>Erwägungen</w:t>
      </w:r>
    </w:p>
    <w:p>
      <w:r>
        <w:rPr>
          <w:b/>
        </w:rPr>
        <w:t>E. 18</w:t>
      </w:r>
    </w:p>
    <w:p>
      <w:r>
        <w:t>juin 2020. Elle a conclu au rejet du recours et à la confirmation de la décision attaquée, avec suite de frais. en droit 1. 1.1. 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1.2. La valeur litigieuse est inférieure à CHF 30'000.- (cf. art. 51 al. 1 let. a art. 74 al. 1 let. b LTF). 1.3.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w:t>
      </w:r>
    </w:p>
    <w:p>
      <w:r>
        <w:t>Tribunal cantonal TC Page 3 de 6 la loi, mais la procédure de mainlevée n’est pas visée par cette réserve. L’interdiction des faits nouveaux s’applique également à la partie adverse (cf. arrêt TF 5A_950/2014 du 16 avril 2015 consid. 3.5). La recourante a produit plusieurs pièces à l’appui de son mémoire de recours. Toutefois, la grande majorité d’entre elles l’ont été au stade du recours seulement, soit tardivement au regard de l’art. 326 al. 1 CPC, de sorte qu’elles sont irrecevables. Il n’en sera dès lors pas tenu compte et la Cour statuera sur la base des allégués et des pièces produites en première instance. 2. Selon l’art. 82 al. 1 LP,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(ATF 136 III 627 consid. 2; PANCHAUD/CAPREZ, La mainlevée d’opposition, 2ème éd., 1980, § 1; CR LP-GILLIÉRON, 2005, art. 82 n. 29).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(CR LP-GILLIÉRON art. 82 n. 40).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(CR LP-GILLIÉRON, art. 82 n. 42). 2.1. En l’espèce, il est incontesté – et, surtout, incontestable – que le document signé le 8 mai 2015 par D.________, intitulé « contrat de phase II », constitue une reconnaissance de dette valant titre de mainlevée provisoire au sens de l’art. 82 LP. 2.2. La recourante soutient que, contrairement à ce qu’a retenu le premier juge, D.________ n’a pas signé ce document comme représentant de la société à responsabilité limitée dont il est l’associé-gérant avec signature individuelle, mais à titre personnel, de sorte qu’il est seul engagé vis-à-vis de la créancière poursuivante. 2.3.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arrêts cités). L’identité du créancier doit être mentionnée de manière exacte au moment de l’établissement de la reconnaissance de dette. Un contrat conclu par un représentant dans lequel le représenté n’est pas nommément désigné ne permet pas l’octroi de la mainlevée contre ce dernier (ABBET/VEUILLET, La mainlevée de l’opposition, 2017, n. 74 p. 129).</w:t>
      </w:r>
    </w:p>
    <w:p>
      <w:r>
        <w:t>Tribunal cantonal TC Page 4 de 6 2.4. Selon l’art. 809 al. 1 CO, les associés exercent collectivement la gestion de la société à responsabilité limitée. Chaque gérant a le pouvoir de représenter la société (art. 814 al. 1 CO). Les personnes autorisées à représenter la société signent en ajoutant leur signature personnelle à la raison sociale (art. 814 al. 5 CO) ; le droit de la société anonyme s’applique par analogie à l’étendue et à la limitation des pouvoirs de représentation (art. 814 al. 4 CO). En droit de la société anonyme, applicable par analogie vu le renvoi de l’art. 814 al. 4 CO, le conseil d’administration représente la société anonyme à l’égard des tiers, chaque membre du conseil d’administration ayant le pouvoir de représenter la société sauf disposition contraire des statuts ou du règlement d’organisation (art. 718 al. 1 CO) ; le conseil d’administration peut déléguer le pouvoir de représentation à un ou plusieurs de ses membres (délégués) ou à des tiers (directeurs ; art. 718 al. 2 CO). Les personnes autorisées à représenter la société ont le droit d’accomplir au nom de celle-ci tous les actes que peut impliquer le but social (art. 718a al. 1 CO). L’effet de représentation ne se produit que si le représentant agit au nom de la société. Le représentant doit donc se faire connaître comme tel. Ce principe général de la représentation doit se refléter, formellement, dans la signature. En effet, comme dans le droit de la société à responsabilité limitée, en droit de la société anonyme, les personnes autorisées à représenter la société signent en ajoutant leur signature personnelle à la raison sociale (art. 719 CO ; VENTURI/BAUEN, Le conseil d’administration, 2007, p. 176, n. 581). La mention de la raison sociale a pour but d’éviter tout risque de confusion entre les cas où le signataire entend s’engager personnellement et ceux où il agit pour le compte de la société (CR CO-PETER/CAVADINI, 2017, art. 719 n. 2). Sans mention de la raison sociale, seul l’organe, à titre personnel, sera en principe engagé à moins que le cocontractant ait dû inférer des circonstances que la personne intervenait en qualité de représentant ou qu’il ne lui importait pas de savoir avec qui il traitait (art. 32 al. 2 CO) (VENTURI/BAUEN, p. 176, n. 581; CR CO-PETER/CAVADINI, art. 719 n. 3). 2.5. En l’espèce, il ne ressort pas expressément de la signature de la reconnaissance de dette produite que D.________ agissait au nom et pour le compte de la société poursuivie. En effet, la raison sociale de la société à responsabilité limitée qu’il dirige, à savoir A.________ Sàrl, ne figure pas à côté de la signature de l’intéressé, contrairement à ce que prescrit l’art. 814 al. 5 CO en cas de représentation. De plus, la formulation choisie, en particulier la référence sous rubrique « votre propriété sise à E.________ » et les termes « cher Monsieur », est sans ambiguïté sur le caractère personnel de l’engagement de D.________. Aucune circonstance ne permettait à la créancière poursuivante d’inférer que D.________ intervenait en tant que représentant d’une société. Certes, le contrat invoqué comme titre de mainlevée par la requérante est adressé à « A.________ Sàrl, p.a. D.________ », ce qui pourrait laisser penser que D.________ agissait au nom et pour le compte de la société poursuivie. Il n’en demeure pas moins qu’à lui seul, cet élément n’est pas décisif, ce d’autant qu’il ressort des pièces produites en première instance, tant par la créancière que par la débitrice, qu’un certain nombre de documents établis par la poursuivante dans le cadre du contrat d’entreprise litigieux ont été adressés à D.________ personnellement. Dans ces circonstances, il faut admettre que le document valant reconnaissance de dette signé le 8 mai 2015 renferme bien un engagement personnel de D.________. Il s’ensuit l’admission du recours et la réformation de la décision attaquée, en ce sens que la mainlevée provisoire de l’opposition formée par la société A.________ Sàrl au commandement de payer no ccc de l'Office des poursuites de la Gruyère notifié à l’instance de la société B.________ SA est refusée.</w:t>
      </w:r>
    </w:p>
    <w:p>
      <w:r>
        <w:t>Tribunal cantonal TC Page 5 de 6 3. Le recours ayant un effet réformatoire, la Cour doit également se prononcer sur les frais de la procédure de première instance (art. 318 al. 3 CPC par analogie). Au vu de l'admission du recours, les frais pour les deux instances doivent être mis à la charge de la société B.________ SA (art. 106 al. 1 CPC). 3.1. Les frais judiciaires de première instance ont été fixés à CHF 380.-, montant que les parties n’ont pas remis en cause. Ils sont mis à la charge de la société B.________ SA et prélevés sur l’avance de frais qu’elle a versée (art. 111 al. 1 CPC). Quant aux frais judiciaires de la procédure de recours, ils sont fixés à CHF 500.- et seront prélevés sur l’avance de frais du même montant effectuée le 4 juin 2020 par la société A.________ Sàrl, qui aura droit à leur remboursement par la société B.________ SA.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la société A.________ Sàrl pour la procédure de recours seront arrêtés globalement à la somme de CHF 861.60, TVA par CHF 61.60 comprise. En revanche, il n’y a pas lieu de lui allouer d’équitable indemnité de partie à titre de dépens pour la procédure de première instance, dans la mesure où la débitrice poursuivie a agi par elle-même et dès lors que le travail effectué n’a pas dépassé ce que l’on peut raisonnablement attendre d’un justiciable dans le cadre de la gestion ordinaire de ses affaires administratives. (dispositif en page suivante)</w:t>
      </w:r>
    </w:p>
    <w:p>
      <w:r>
        <w:t>Tribunal cantonal TC Page 6 de 6 la Cour arrête : I. Le recours est admis. Partant, la décision de la Présidente du Tribunal civil de l’arrondissement de la Gruyère du 28 avril 2020 est réformée et prend la teneur suivante : 1. La requête de mainlevée provisoire déposée 19 février 2020 par la société B.________ SA à l’encontre de la société A.________ Sàrl est rejetée. 2. La mainlevée provisoire de l’opposition formée par la société A.________ Sàrl au commandement de payer no ccc de l'Office des poursuites de la Gruyère notifié à l’instance de la société B.________ SA est refusée. 3. Les frais sont mis à la charge de la société B.________ SA. Les frais judiciaires dus à l’Etat sont fixés à CHF 380.-. Ils sont prélevés sur l’avance de frais effectuée par la société B.________ SA. Il n’est pas alloué de dépens à la société A.________ Sàrl. II. Les frais de la procédure de recours sont mis à la charge de la société B.________ SA. Les frais judiciaires dus à l'Etat sont fixés à CHF 500.-. Ils sont prélevés sur l'avance versée par la société A.________ Sàrl, qui a droit à leur remboursement par la société B.________ SA. Les dépens de la société A.________ Sàrl pour la procédure de recours sont fixés globalement à la somme de CHF 861.60, TVA par CHF 61.60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juillet 2020/lda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