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81 vom 5. Juni 2020</w:t>
      </w:r>
    </w:p>
    <w:p>
      <w:r>
        <w:t>FR Kantonsgericht, 2020-06-05, DE</w:t>
      </w:r>
    </w:p>
    <w:p>
      <w:r>
        <w:rPr>
          <w:b/>
        </w:rPr>
        <w:t xml:space="preserve">Quelle: </w:t>
      </w:r>
      <w:r>
        <w:t>https://mcp.opencaselaw.ch/entscheid/fr_gerichte_102_2020_81</w:t>
      </w:r>
    </w:p>
    <w:p>
      <w:r>
        <w:t>FR: FR_GERICHTE 102 2020 81 du 5 juin 2020</w:t>
      </w:r>
    </w:p>
    <w:p>
      <w:r>
        <w:t>IT: FR_GERICHTE 102 2020 81 del 5 giugno 2020</w:t>
      </w:r>
    </w:p>
    <w:p>
      <w:pPr>
        <w:pStyle w:val="Heading2"/>
      </w:pPr>
      <w:r>
        <w:t>Regeste</w:t>
      </w:r>
    </w:p>
    <w:p>
      <w:r>
        <w:t>Urteil des II. Zivilappellationshofs des Kantonsgerichts | Rechtsöffnung</w:t>
      </w:r>
    </w:p>
    <w:p>
      <w:pPr>
        <w:pStyle w:val="Heading2"/>
      </w:pPr>
      <w:r>
        <w:t>Erwägungen</w:t>
      </w:r>
    </w:p>
    <w:p>
      <w:r>
        <w:rPr>
          <w:b/>
        </w:rPr>
        <w:t>E. 1</w:t>
      </w:r>
    </w:p>
    <w:p>
      <w:r>
        <w:t>Der Beschwerdeführer reichte eine Beschwerdeschrift gegen beide Entscheide vom 20. April 2020 betreffend definitive Rechtsöffnung ein. Den Verfahren liegt derselbe Sachverhalt zugrunde; sie sind daher zu vereinigen.</w:t>
      </w:r>
    </w:p>
    <w:p>
      <w:r>
        <w:rPr>
          <w:b/>
        </w:rPr>
        <w:t>E. 2</w:t>
      </w:r>
    </w:p>
    <w:p>
      <w:r>
        <w:t>ZPO). Die angefochtenen Entscheide wurden dem Beschwerdeführer am 21. April 2020 zugestellt (vgl. Akten des Zivilgerichtspräsidenten). Folglich lief die Frist am 1. Mai 2020 aus, so dass die am</w:t>
      </w:r>
    </w:p>
    <w:p>
      <w:r>
        <w:rPr>
          <w:b/>
        </w:rPr>
        <w:t>E. 2.1</w:t>
      </w:r>
    </w:p>
    <w:p>
      <w:r>
        <w:t>Mangels Berufungsfähigkeit unterliegen die angefochtenen Rechtsöffnungsentscheide vom 20. April 2020 der Beschwerde (Art. 309 Bst. b Ziff. 3 i.V.m. Art. 319 Bst. a ZPO).</w:t>
      </w:r>
    </w:p>
    <w:p>
      <w:r>
        <w:rPr>
          <w:b/>
        </w:rPr>
        <w:t>E. 2.2</w:t>
      </w:r>
    </w:p>
    <w:p>
      <w:r>
        <w:t>Als Rechtsmittelinstanz für das erstinstanzliche Gericht am Betreibungsort ist der II. Zivilap- pellationshof in funktioneller und örtlicher Hinsicht zuständig (Art. 84 Abs. 1 i.V.m. Art. 46 Abs. 1</w:t>
      </w:r>
    </w:p>
    <w:p>
      <w:r>
        <w:t>Kantonsgericht KG Seite 3 von 5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2.3</w:t>
      </w:r>
    </w:p>
    <w:p>
      <w:r>
        <w:t>Gemäss Art. 251 lit. a ZPO werden Entscheide in Rechtsöffnungssachen im summarischen Verfahren gefällt. Im summarischen Verfahren beträgt die Beschwerdefrist 10 Tage (Art. 321 Abs.</w:t>
      </w:r>
    </w:p>
    <w:p>
      <w:r>
        <w:rPr>
          <w:b/>
        </w:rPr>
        <w:t>E. 2.4</w:t>
      </w:r>
    </w:p>
    <w:p>
      <w:r>
        <w:t>Bei der Beschwerdefrist nach Art. 321 ZPO handelt es sich um eine gesetzliche Frist, welche nicht erstreckt werden kann (vgl. Art. 144 Abs. 1 ZPO). Aus diesem Grund konnte das Fristverlängerungsgesuch des Beschwerdeführers nicht gutgeheissen werden. Dazu ist noch folgendes anzumerken: der Beschwerdeführer ersuchte in seiner Eingabe vom 1. Mai 2020 um Ansetzung einer Nachfrist, weil er krank war und die Beschwerde nicht ausdru- cken konnte. In seiner am 4. Mai 2020 eingereichten Beschwerde ersuchte er abermals um eine Nachfrist, dieses Mal jedoch mit der Begründung, es sei ihm wegen seiner Krankheit nicht möglich gewesen, rechtzeitig den Rechtsschutz zu kontaktieren. Nach Art. 148 Abs. 1 ZPO kann das Gericht auf Gesuch einer säumigen Partei eine Nachfrist gewähren oder zu einem Termin erneut vorladen, wenn die Partei glaubhaft macht, dass sie kein oder nur ein leichtes Verschulden trifft. Mit seiner Eingabe vom 1. Mai 2020 beweist der Beschwer- deführer, dass er innert Frist hätte handeln können. Das eingereichte Arztzeugnis belegt denn auch nur eine Krankschreibung von vier Tagen ab dem 21. April 2020. Der Vorwand, wonach es ihm nicht möglich gewesen sei, die Dokumente fristgerecht auszudrucken bzw. eine neue Patrone zu beschaffen, ist nicht zu hören. Zudem ist nicht ersichtlich oder gar durch ein Arztzeugnis belegt, dass es dem Beschwerdeführer nicht möglich gewesen sein soll, seinen Rechtsschutz zu kontak- tieren. Folglich hat der Beschwerdeführer nicht glaubhaft gemacht, dass ihn kein oder nur ein leichtes Verschulden an seiner Säumnis trifft. Es kann ihm keine Nachfrist gewährt werden.</w:t>
      </w:r>
    </w:p>
    <w:p>
      <w:r>
        <w:rPr>
          <w:b/>
        </w:rPr>
        <w:t>E. 2.5</w:t>
      </w:r>
    </w:p>
    <w:p>
      <w:r>
        <w:t>Betreffend die fristgerechte Eingabe vom 1. Mai 2020 ist Folgendes zu bemerken. 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(FREIBURGHAUS/AFHELDT, in Kommentar zur Schweizerischen Zivilprozessordnung, 3. Aufl. 2016, Art. 321 N. 15). In der Beschwerdebegründung ist darzulegen, welche Sachverhaltselemen- te unrichtig sind und inwiefern der angefochtene Entscheid Recht verletzt. Erfüllt die Beschwerde grundlegende Anforderungen an Form oder Inhalt nicht, fehlt es an einer Eintretensvoraussetzung und die Rechtsmittelinstanz hat darauf nicht einzutreten (STERCHI, in Berner Kommentar Schwei- zerische Zivilprozessordnung, Band II, 2012, Art. 321 N. 22). Aus der Eingabe des Beschwerdeführers vom 1. Mai 2020 geht einzig hervor, dass er eine Nach- frist verlangt für die Einreichung seiner Beschwerde wegen unrichtiger Rechtsanwendung und offensichtlich unrichtiger Feststellung des Sachverhalts. Mit den Ausführungen der Vorinstanz setzt sich der Beschwerdeführer in keiner Weise auseinander. Der Eingabe des Beschwerdeführers vom 1. Mai 2020 fehlt somit jegliche Begründung und sie erfüllt die Anforderungen an den Inhalt</w:t>
      </w:r>
    </w:p>
    <w:p>
      <w:r>
        <w:t>Kantonsgericht KG Seite 4 von 5 bzw. die Begründung einer Beschwerdeschrift nicht, weshalb darauf ebenfalls nicht eingetreten werden kann. 3. Selbst wenn auf die Beschwerde einzutreten wäre, müsste diese abgewiesen werden. 3.1. Nach Art. 80 Abs. 1 SchKG kann der Gläubiger beim Gericht die Aufhebung des Rechtsvor- schlags (definitive Rechtsöffnung) verlangen, wenn die Forderung auf einem vollstreckbaren gerichtlichen Entscheid beruht. 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(Art. 81 Abs. 1 SchKG). Es ist nicht Sache des Rechtsöffnungsrichters, den Rechtsöffnungstitel materiell zu überprüfen. Die Kognition des Rechtsöffnungsrichters ist in Bezug auf die inhaltliche Prüfung des Titels darauf beschränkt, ob der Rechtsöffnungstitel nichtig ist. Darüber hinaus hat der Rechtsöffnungsrichter nur zu prüfen, ob der vorgelegte Titel die Anforderungen an einen definitiven Rechtsöffnungstitel erfüllt bzw. ob Einreden vorliegen, welche gegen die Erteilung der Rechtsöffnung sprechen (VOCK/AEPLI-WIRZ, in Kommentar zum Bundesgesetz über Schuldbetreibung und Konkurs, 4. Aufl. 2017, Art. 80 N. 2; siehe auch KREN KOSTKIEWICZ, OFK-SchKG, 19. Aufl. 2016, Art. 80 N. 2 f.; BGE 143 III 564 E. 4.1). Anhand des gerichtlichen Entscheids hat das Rechtsöffnungsgericht namentlich zu prüfen, ob die im Urteil genannten Personen des Gläubigers und des Schuldners mit dem Betreibungsgläubiger und dem Betreibungsschuldner identisch sind und ob sich die in Betrei- bung gesetzte Forderung aus dem vorgelegten gerichtlichen Entscheid ergibt. Dabei hat das Gericht weder über den materiellen Bestand der Forderung zu befinden, noch sich mit der materi- ellen Richtigkeit des Urteils zu befassen (BGE 142 III 78 E. 3.1 mit Hinweisen). 3.2. Der Beschwerdeführer reicht keine Urkunden ein, welche seine Einreden bzw. eine Tilgung oder Stundung der Schuld belegen würden. Die angefochtenen Entscheide sind nicht zu beanstan- den und die Beschwerden müssten so oder anders abgewiesen werden.</w:t>
      </w:r>
    </w:p>
    <w:p>
      <w:r>
        <w:rPr>
          <w:b/>
        </w:rPr>
        <w:t>E. 4</w:t>
      </w:r>
    </w:p>
    <w:p>
      <w:r>
        <w:t>Die Prozesskosten werden der unterliegenden Partei auferlegt (Art. 106 Abs. 1 ZPO). Der Beschwerdeführer ist mit seinen Anträgen nicht durchgedrungen und hat daher die Prozesskosten zu tragen. Die Gerichtskosten sind namentlich in Berücksichtigung der in Betreibung gesetzten Summen auf pauschal CHF 500.- festzusetzen (Art. 48 und 61 Abs. 1 GebV). Es wurde gemäss Art. 322 ZPO keine Vernehmlassung eingeholt und den Gegenparteien sind keine weiteren Umtrie- be entstanden; es ist somit keine Parteientschädigung zuzusprechen. (Dispositiv auf nachfolgender Seite)</w:t>
      </w:r>
    </w:p>
    <w:p>
      <w:r>
        <w:t>Kantonsgericht KG Seite 5 von 5 Der Hof erkennt: I. Die Beschwerdeverfahren 102 2020 81 und 102 2020 82 werden vereinigt. II. Auf die Beschwerden wird nicht eingetreten. III. Die Prozesskosten des Beschwerdeverfahrens werden A.________ auferlegt. Die Gerichtskosten werden auf CHF 500.- festgesetzt. Es wird keine Parteientschädigung ausgerichtet.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5. Juni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