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74 vom 9. Juni 2020</w:t>
      </w:r>
    </w:p>
    <w:p>
      <w:r>
        <w:t>FR Kantonsgericht, 2020-06-09, FR</w:t>
      </w:r>
    </w:p>
    <w:p>
      <w:r>
        <w:rPr>
          <w:b/>
        </w:rPr>
        <w:t xml:space="preserve">Quelle: </w:t>
      </w:r>
      <w:r>
        <w:t>https://mcp.opencaselaw.ch/entscheid/fr_gerichte_102_2020_74</w:t>
      </w:r>
    </w:p>
    <w:p>
      <w:r>
        <w:t>FR: FR_GERICHTE 102 2020 74 du 9 juin 2020</w:t>
      </w:r>
    </w:p>
    <w:p>
      <w:r>
        <w:t>IT: FR_GERICHTE 102 2020 74 del 9 giugno 2020</w:t>
      </w:r>
    </w:p>
    <w:p>
      <w:pPr>
        <w:pStyle w:val="Heading2"/>
      </w:pPr>
      <w:r>
        <w:t>Regeste</w:t>
      </w:r>
    </w:p>
    <w:p>
      <w:r>
        <w:t>Arrêt de la IIe Cour d'appel civil du Tribunal cantonal | Rechtsöffnung</w:t>
      </w:r>
    </w:p>
    <w:p>
      <w:pPr>
        <w:pStyle w:val="Heading2"/>
      </w:pPr>
      <w:r>
        <w:t>Erwägungen</w:t>
      </w:r>
    </w:p>
    <w:p>
      <w:r>
        <w:rPr>
          <w:b/>
        </w:rPr>
        <w:t>E. 6</w:t>
      </w:r>
    </w:p>
    <w:p>
      <w:r>
        <w:t>février 2020, le Service cantonal des contributions a requis la mainlevée définitive de l’opposition. B. Par décision du 26 mars 2020, le Président du Tribunal civil de l’arrondissement de la Gruyère (ci-après : le Président) a admis la requête de mainlevée définitive de l’opposition et mis les frais judiciaires, par CHF 140.-, à la charge de l’opposant. C. Par acte 1er mai 2020, A.________ a interjeté un recours à l’encontre de cette décision. Il a en outre conclu à ce que l’intimé soit condamné au paiement d’une peine pécuniaire de CHF 5'000.-. D. Le 25 mai 2020, le Service cantonal des contributions s’est déterminé sur le recours et a conclu à son rejet. E. Le 4 juin 2020, A.________ a déposé une détermination spontanée et a produit une nouvelle pièce.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1.3. Le recourant conclut à ce que le Service cantonal des contributions soit condamné au paiement d’une peine pécuniaire de CHF 5'000.-. Cette conclusion, qui relève du droit pénal, est irrecevable dans le cadre de la présente procédure de mainlevée.</w:t>
      </w:r>
    </w:p>
    <w:p>
      <w:r>
        <w:t>Tribunal cantonal TC Page 3 de 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Le recourant soutient, en substance, qu’il s’est acquitté de la dette en poursuite, ce qu’il prétend avoir prouvé en produisant un extrait de son compte bancaire relatif aux paiements effectués en faveur du Service cantonal des contributions, soit 45 paiements pour un montant total de CHF 20'485.20, ce qui couvrirait la dette de CHF 15’700.- relative aux impôts cantonaux pour les périodes fiscales 2015 et 2016. 2.3. En l’espèce, le Service cantonal des contributions a produit, à l’appui de sa requête, l’avis de taxation 2015 rectifié du 18 avril 2019 et le décompte du 17 août 2017 portant sur l’impôt sur le revenu et la fortune 2015, impôt cantonal et ecclésiastique catholique, ainsi que sur les intérêts moratoires et compensatoires pour un montant total de CHF 11'715.20, payable jusqu’au 30 septembre 2017, tous deux attestés définitifs et exécutoires le 6 février 2020, et valant dès lors titres de mainlevée définitive au sens de l’art. 80 al. 2 ch. 2 LP. Il a également produit l’avis de sommation du 25 juin 2019 concernant le solde dû de l’impôt sur le revenu et la fortune 2015, impôt cantonal et ecclésiastique catholique, soit CHF 7'130.20. En outre, le taux d’intérêt moratoire est fixé à 3% par l’ordonnance DFIN relative à la perception des créances fiscales (RSF 631.131 ; art. 1) et les frais de contentieux et de prestations sont arrêtés à CHF 30.- chacun par le Tarif des émoluments du service cantonal des contributions (RSF 631.16 ; art. 1 al. 1 let. b ch.1 et 2). De son côté, le débiteur soutient avoir prouvé qu’il a payé sa dette. Force est toutefois de constater que les extraits du compte bancaire qu’il a produits ne permettent pas d’établir que la dette qui fait l’objet de la présente poursuite a été réglée. Certes, il ressort des extraits de compte que des versements ont été effectués en faveur du Service cantonal des contributions. Rien ne prouve toutefois qu’ils ont été affectés au remboursement de l’impôt sur le revenu et la fortune</w:t>
      </w:r>
    </w:p>
    <w:p>
      <w:r>
        <w:t>Tribunal cantonal TC Page 4 de 5 2015, impôt cantonal et ecclésiastique catholique. L’extrait bancaire ne permet donc aucunement d’identifier la période fiscale à laquelle les paiements du recourant se réfèrent. Partant, le recourant n’a pas démontré que la créance en poursuite est éteinte. Afin que les paiements du recourant soient affectés à la bonne période fiscale, il lui incombe de les faire au moyen des bulletins de versement qui lui sont remis et qui correspondent à une période fiscale et à un genre d’impôt déterminé. Dans la mesure où le Service cantonal des contributions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Pour le surplus, les autres arguments soulevés par le recourant ne répondent pas aux exigences de motivation posées par l’art. 321 al. 1 CPC dans la mesure où il se contente de répéter ses allégués de première instance, sans critiquer la motivation du Président. Partant, ils sont irrecevables. Il s’ensuit le rejet du recours, dans la mesure de sa recevabilité, et la confirmation de la décision du Président du 26 mars 2020. 3. 3.1. Les frais de la procédure de recours doivent être mis à la charge de A.________, qui succombe (art. 106 al. 1 CPC). Ils comprennent les frais judiciaires, fixés forfaitairement à CHF 250.- (art. 48 et 61 al. 1 OELP). 3.2. Il n’est pas alloué de dépens au Service cantonal des contributions. (dispositif en page suivante)</w:t>
      </w:r>
    </w:p>
    <w:p>
      <w:r>
        <w:t>Tribunal cantonal TC Page 5 de 5 la Cour arrête : I. Le recours est rejeté dans la mesure de sa recevabilité. Partant, la décision du Président du Tribunal civil de l’arrondissement de la Gruyère du 26 mars 2020 est confirmée. II. Les frais de la procédure de recours sont mis à la charge de A.________.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