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69 vom 8. Mai 2020</w:t>
      </w:r>
    </w:p>
    <w:p>
      <w:r>
        <w:t>FR Kantonsgericht, 2020-05-08, FR</w:t>
      </w:r>
    </w:p>
    <w:p>
      <w:r>
        <w:rPr>
          <w:b/>
        </w:rPr>
        <w:t xml:space="preserve">Quelle: </w:t>
      </w:r>
      <w:r>
        <w:t>https://mcp.opencaselaw.ch/entscheid/fr_gerichte_102_2020_69</w:t>
      </w:r>
    </w:p>
    <w:p>
      <w:r>
        <w:t>FR: FR_GERICHTE 102 2020 69 du 8 mai 2020</w:t>
      </w:r>
    </w:p>
    <w:p>
      <w:r>
        <w:t>IT: FR_GERICHTE 102 2020 69 del 8 maggio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au recourant le 28 mars 2020. Par ordonnance sur la suspension des poursuites au sens de l’art. 62 LP du 18 mars 2020, le Conseil fédéral a décidé qu’en raison de la pandémie, du 19 mars au 4 avril 2020 inclus, les poursuites seraient suspendues dans toute la Suisse, période suivie immédiatement par les féries de Pâques. Le délai pour recourir contre une décision notifiée pendant cette suspension commençait donc à courir dès le lundi 20 avril 2020. Interjeté le 30 avril 2020, le recours l’a donc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w:t>
      </w:r>
    </w:p>
    <w:p>
      <w:r>
        <w:t>Tribunal cantonal TC Page 3 de 5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arrêt TC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La recourante a acquitté le 30 avril 2020 la somme de CHF 5’030.- couvrant la totalité du montant à rembourser à la créancière, y compris les intérêts et les frais, mais pas les frais de la procédure de faillite. Il n’est pas certain que, dans ces circonstances, la condition de l'art. 174 al. 2 ch. 2 LP est réalisée. Cette question peut cependant être laissée ouverte pour les motifs suivants.</w:t>
      </w:r>
    </w:p>
    <w:p>
      <w:r>
        <w:rPr>
          <w:b/>
        </w:rPr>
        <w:t>E. 2.3</w:t>
      </w:r>
    </w:p>
    <w:p>
      <w:r>
        <w:t>Le recours doit être rejeté au motif que la recourante n’a pas rendu vraisemblable sa solvabilité. En effet, il ressort de l’extrait du registre des poursuites daté du 26 mars 2020 que A.________ SA comptabilise des poursuites exécutoires à hauteur de CHF 46'385.35, montant qu'elle n'a que partiellement réglé, dès lors que selon le décompte débiteur du 30 avril 2020, il reste toujours un solde dû de CHF 29'082.50. Même à en déduire les montants mis en poursuite par l’Administration fédérale des contributions, soit CHF 4'500.- et CHF 4'700.- (poursuites n° 925010 et 937873), pour lesquels la faillie démontre, documents à l’appui, qu’ils ont fait l’objet d’une correction en sa faveur, ainsi que le montant déposé au Tribunal cantonal, il reste un solde de poursuites exécutoires de CHF 14'852.50. La recourante ne produit par ailleurs aucun document de nature à rendre vraisemblable sa solvabilité, tels qu'un extrait de compte bancaire, sa comptabilité, des copies de factures émises ou encore la liste des encaissements prévus à brève échéance. Ce n’est en effet pas la créance de CHF 8'000.- remboursable à raison de CHF 500.- par mois, pour laquelle elle produit le contrat de prêt, qui lui permettra de solder ses dettes, ce d’autant qu’elle n’a pas établi que ce remboursement est effectif. En outre, s’agissant de l’inventaire de son patrimoine mobilier, il ne s’agit que d’un document établi par la faillie elle-même et par conséquent sans aucune force probatoire.</w:t>
      </w:r>
    </w:p>
    <w:p>
      <w:r>
        <w:t>Tribunal cantonal TC Page 4 de 5 Dans ces circonstances, il y a lieu d’admettre que la recourante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L’attention de la recourante est attirée sur la possibilité d’obtenir la révocation de la faillite aux conditions de l’art. 195 LP.</w:t>
      </w:r>
    </w:p>
    <w:p>
      <w:r>
        <w:rPr>
          <w:b/>
        </w:rPr>
        <w:t>E. 4</w:t>
      </w:r>
    </w:p>
    <w:p>
      <w:r>
        <w:t>Le recours étant rejeté, le montant de CHF 5’030.- déposé auprès du Tribunal cantonal sera transféré sans délai sur le compte de l’Office cantonal des faillites dès lors qu'au vu de la confirmation de la décision querellée, il fait partie de la masse en faillite.</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6.2</w:t>
      </w:r>
    </w:p>
    <w:p>
      <w:r>
        <w:t>Il n'y a pas lieu d'allouer d’équitable indemnité de partie à l’intimée dès lors qu’elle n’a pas été invitée à se déterminer sur le recours. (dispositif en page suivante)</w:t>
      </w:r>
    </w:p>
    <w:p>
      <w:r>
        <w:t>Tribunal cantonal TC Page 5 de 5 la Cour arrête : I. Le recours est rejeté. Partant, la décision de faillite rendue le 16 mars 2020 par le Président du Tribunal civil de l'arrondissement de la Gruyère est confirmée. II. Le montant de CHF 5’030.- est transféré sans délai à l'Office cantonal des faillites. III. La requête d'effet suspensif du 30 avril 2020 est sans objet. IV. Les frais de la procédure de recours sont mis à la charge de A.________ SA.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2020/dbe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