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56 vom 28. Mai 2020</w:t>
      </w:r>
    </w:p>
    <w:p>
      <w:r>
        <w:t>FR Kantonsgericht, 2020-05-28, FR</w:t>
      </w:r>
    </w:p>
    <w:p>
      <w:r>
        <w:rPr>
          <w:b/>
        </w:rPr>
        <w:t xml:space="preserve">Quelle: </w:t>
      </w:r>
      <w:r>
        <w:t>https://mcp.opencaselaw.ch/entscheid/fr_gerichte_102_2020_56</w:t>
      </w:r>
    </w:p>
    <w:p>
      <w:r>
        <w:t>FR: FR_GERICHTE 102 2020 56 du 28 mai 2020</w:t>
      </w:r>
    </w:p>
    <w:p>
      <w:r>
        <w:t>IT: FR_GERICHTE 102 2020 56 del 28 maggio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300'000.-.</w:t>
      </w:r>
    </w:p>
    <w:p>
      <w:r>
        <w:rPr>
          <w:b/>
        </w:rPr>
        <w:t>E. 2.1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Elle peut découler d’un simple écrit ou d’un ensemble de pièces pourvu que les éléments nécessaires en résultent (CR LP-SCHMIDT, 2005, art. 82 n. 18). Ainsi, une facture adressée par le vendeur à l’acheteur vaut reconnaissance de dette si elle est signée par l’acheteur sans réserve ni condition (KRAUSKOPF, La mainlevée provisoire : quelques jurisprudences récentes in JdT 2008 II 32). La procédure de mainlevée est une pure procédure d’exécution forcée, un simple incident de la poursuite. En effet, le juge de la mainlevée ne statue pas sur l’existence de la créance déduite en</w:t>
      </w:r>
    </w:p>
    <w:p>
      <w:r>
        <w:t>Tribunal cantonal TC Page 3 de 4 poursuite, mais sur son caractère exécutoire pour autant qu’un titre à la mainlevée ait été produit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 76 p. 110).</w:t>
      </w:r>
    </w:p>
    <w:p>
      <w:r>
        <w:rPr>
          <w:b/>
        </w:rPr>
        <w:t>E. 2.2</w:t>
      </w:r>
    </w:p>
    <w:p>
      <w:r>
        <w:t>En substance, la recourante allègue qu’il existe un doute quant à la provenance des fonds prêtés et qu’elle n’a pas obtenu de réponse à ce sujet. Elle indique également que dans ce contexte, une dénonciation a été faite au Ministère public décrivant « un détournement de fonds de plus de 3'000'000.- sous forme de bande organisée » et réclame l’ouverture d’une enquête pénale.</w:t>
      </w:r>
    </w:p>
    <w:p>
      <w:r>
        <w:rPr>
          <w:b/>
        </w:rPr>
        <w:t>E. 2.3</w:t>
      </w:r>
    </w:p>
    <w:p>
      <w:r>
        <w:t>En l’espèce, la requérante a produit, à l’appui de sa requête de mainlevée, un contrat de prêt conclu entre les parties, le 28 juillet 2016, par lequel B.________ s’est engagée à prêter la somme de CHF 300'000.- à la recourante après la signature du contrat, montant que cette dernière s’est engagée à rembourser à B.________ au plus tard le 30 décembre 2016 à midi. Ce document vaut reconnaissance de dette au sens de l’art. 82 al. 1 LP. La recourante ne conteste pas avoir bénéficié du prêt susmentionné ni ne pas l’avoir remboursé à l’échéance fixée dans le contrat. Partant, elle n’a pas rendu immédiatement vraisemblable sa libération et les arguments qu’elle soulève ne lui sont d’aucun secours dès lors que le rôle du juge de la mainlevée se limite à la constatation de l'existence ou non d'un titre de mainlevée exécutoire, ce qui est le cas en l’espèce. Partant, la mainlevée provisoire doit être prononcée. Il s’ensuit le rejet du recours.</w:t>
      </w:r>
    </w:p>
    <w:p>
      <w:r>
        <w:rPr>
          <w:b/>
        </w:rPr>
        <w:t>E. 3</w:t>
      </w:r>
    </w:p>
    <w:p>
      <w:r>
        <w:t>Le rejet du recours, manifestement infondé, rend la requête d’effet suspensif sans objet.</w:t>
      </w:r>
    </w:p>
    <w:p>
      <w:r>
        <w:rPr>
          <w:b/>
        </w:rPr>
        <w:t>E. 4.1</w:t>
      </w:r>
    </w:p>
    <w:p>
      <w:r>
        <w:t>Les frais de la procédure de recours doivent être mis à la charge de la recourante, qui succombe (art. 106 al. 1 CPC). Ils comprennent les frais judiciaires, fixés forfaitairement à CHF 1'000.- (art. 48 et 61 al. 1 OELP).</w:t>
      </w:r>
    </w:p>
    <w:p>
      <w:r>
        <w:rPr>
          <w:b/>
        </w:rPr>
        <w:t>E. 4.2</w:t>
      </w:r>
    </w:p>
    <w:p>
      <w:r>
        <w:t>Il n’y a pas lieu d’allouer de dépens à l’intimée qui n’a pas été invitée à se déterminer (art. 322 al. 1 CPC).</w:t>
      </w:r>
    </w:p>
    <w:p>
      <w:r>
        <w:t>Tribunal cantonal TC Page 4 de 4 la Cour arrête : I. Le recours est rejeté. Partant, la décision de la Présidente du Tribunal civil de l’arrondissement de la Gruyère du 18 février 2020 est confirmée. II. La requête d’effet suspensif est sans objet. III. Les frais sont mis à la charge de A.________ SA. Les frais judiciaires sont fixés à CHF 1’000.-.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