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52 vom 18. Juni 2020</w:t>
      </w:r>
    </w:p>
    <w:p>
      <w:r>
        <w:t>FR Kantonsgericht, 2020-06-18, FR</w:t>
      </w:r>
    </w:p>
    <w:p>
      <w:r>
        <w:rPr>
          <w:b/>
        </w:rPr>
        <w:t xml:space="preserve">Quelle: </w:t>
      </w:r>
      <w:r>
        <w:t>https://mcp.opencaselaw.ch/entscheid/fr_gerichte_102_2020_52</w:t>
      </w:r>
    </w:p>
    <w:p>
      <w:r>
        <w:t>FR: FR_GERICHTE 102 2020 52 du 18 juin 2020</w:t>
      </w:r>
    </w:p>
    <w:p>
      <w:r>
        <w:t>IT: FR_GERICHTE 102 2020 52 del 18 giugno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supérieure à CHF 30'000.- (cf. art. 51 al. 1 let. a art. 74 al. 1 let. b LTF).</w:t>
      </w:r>
    </w:p>
    <w:p>
      <w:r>
        <w:rPr>
          <w:b/>
        </w:rPr>
        <w:t>E. 2.1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(cf. ATF 136 III 583 consid. 2.3, ATF 132 III 140 consid. 4.1.1). Il peut également examiner d'office si la poursuite est à l'évidence périmée ou nulle (cf. ATF 139 III 444 consid. 4.1.1).</w:t>
      </w:r>
    </w:p>
    <w:p>
      <w:r>
        <w:t>Tribunal cantonal TC Page 3 de 4 Dans la procédure de mainlevée définitive, le juge n'a ni à revoir, ni à interpréter le titre de mainlevée qui est produit (cf.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(cf. ATF 124 III 501 consid. 3b). En d’autres termes, cela signifie que, lorsque le créancier est au bénéfice d'un jugement exécutoire, le juge prononce la mainlevée définitive de l'opposition (art. 80 al. 1 LP), sauf si l'opposant peut se prévaloir d'un des moyens prévus par l'art. 81 LP. L'opposant peut ainsi prouver par titre que la dette a été éteinte; la preuve de l'extinction par compensation (cf. art. 120 ss CO) ne peut être apportée que par la production de titres qui justifieraient eux- mêmes la mainlevée définitive ou à tout le moins la mainlevée provisoire (cf. ATF 115 III 97 consid. 4; arrêt TF 5P.459/2002 du 29 janvier 2003, consid. 2.2 et réf. citées).</w:t>
      </w:r>
    </w:p>
    <w:p>
      <w:r>
        <w:rPr>
          <w:b/>
        </w:rPr>
        <w:t>E. 2.2</w:t>
      </w:r>
    </w:p>
    <w:p>
      <w:r>
        <w:t>A.________ SA conteste le bien-fondé de l’arrêt définitif et exécutoire du 21 mars 2019 du Tribunal civil de la Gruyère, titre de mainlevée définitif produit par le requérant à l’appui de sa requête de mainlevée. En l’espèce, dès lors que le créancier poursuivant a produit un titre exécutoire et que A.________ SA n’a pas établi par titre avoir payé sa dette ou bénéficié d’un sursis, ni même invoqué la prescription (art. 81 al. 1 LP), la mainlevée définitive devait être prononcée. En effet, le juge de la mainlevée n’a pas à examiner la validité de la créance. Son rôle se limite à la constatation de l’existence ou non d’un titre de mainlevée définitive exécutoire et la recourante ne saurait faire réviser un jugement entré en force par le biais d’une procédure de mainlevée. Partant, le recours doit être rejeté dans la mesure où il est manifestement mal fondé, la décision attaquée ne comportant en définitive aucune erreur, que ce soit dans l’application du droit et/ou dans sa justification en fait.</w:t>
      </w:r>
    </w:p>
    <w:p>
      <w:r>
        <w:rPr>
          <w:b/>
        </w:rPr>
        <w:t>E. 3.1</w:t>
      </w:r>
    </w:p>
    <w:p>
      <w:r>
        <w:t>Les frais de la procédure de recours doivent être mis à la charge de A.________ SA, qui succombe (art. 106 al. 1 CPC). Ils comprennent les frais judiciaires, fixés forfaitairement à CHF 400.- (art. 48 et 61 al. 1 OELP).</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en faveur de B.________ pour la procédure de recours seront arrêtés globalement à la somme de CHF 215.40, TVA par CHF 15.40 comprise. (dispositif en page suivante)</w:t>
      </w:r>
    </w:p>
    <w:p>
      <w:r>
        <w:t>Tribunal cantonal TC Page 4 de 4 la Cour arrête : I. Le recours est rejeté. Partant, la décision de la Présidente du Tribunal civil de l'arrondissement de la Gruyère du 18 février 2020 est confirmée. II. Les frais de la procédure de recours sont mis à la charge de A.________ SA. Les frais judiciaires sont fixés à CHF 400.- et prélevés sur l’avance versée. Les dépens de B.________ pour la procédure de recours sont fixés globalement à la somme de CHF 215.40, TVA par CHF 15.40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juin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