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46 vom 16. März 2020</w:t>
      </w:r>
    </w:p>
    <w:p>
      <w:r>
        <w:t>FR Kantonsgericht, 2020-03-16, DE</w:t>
      </w:r>
    </w:p>
    <w:p>
      <w:r>
        <w:rPr>
          <w:b/>
        </w:rPr>
        <w:t xml:space="preserve">Quelle: </w:t>
      </w:r>
      <w:r>
        <w:t>https://mcp.opencaselaw.ch/entscheid/fr_gerichte_102_2020_46</w:t>
      </w:r>
    </w:p>
    <w:p>
      <w:r>
        <w:t>FR: FR_GERICHTE 102 2020 46 du 16 mars 2020</w:t>
      </w:r>
    </w:p>
    <w:p>
      <w:r>
        <w:t>IT: FR_GERICHTE 102 2020 46 del 16 marzo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27 février 2020; interjeté le 9 mars 2020, le recours l’a été en temps utile (art. 142 al. 3 CPC).</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Tribunal cantonal TC Page 3 de 4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recourant allègue qu’il avait l’intention de payer le montant en poursuite mais que son compte bancaire a été bloqué par l’Office des poursuites, de sorte qu’il payera le montant dès que son compte bancaire sera débloqué. La Cour constate que le montant de CHF 3'142.70, couvrant la totalité de la somme à rembourser à la créancière, y compris les frais, n’a pas été payé par le recourant. Le blocage du compte bancaire du recourant ne justifie pas l’absence de paiement dans le délai. Il appartenait au recourant de prendre ses dispositions avec l’Office des faillites afin qu’il puisse disposer du montant nécessaire pour rembourser sa dette. Partant, la première condition posée par l'art. 174 al. 2 ch. 2 LP n’est pas remplie.</w:t>
      </w:r>
    </w:p>
    <w:p>
      <w:r>
        <w:rPr>
          <w:b/>
        </w:rPr>
        <w:t>E. 2.3</w:t>
      </w:r>
    </w:p>
    <w:p>
      <w:r>
        <w:t>Son recours doit être rejeté pour un second motif également, dès lors que le recourant n’a produit aucun document de nature à rendre vraisemblable sa solvabilité. En effet, il ressort de l’extrait du registre des poursuites du recourant, daté du 26 février 2020, qu’il comptabilise des poursuites exécutoires à hauteur de CHF 29'240.90, montant qu'il n'a pas réglé ni déposé à l'intention des créanciers et qu’elles se trouvent toutes déjà au stade de la commination de faillite, de la saisie et de la continuation de la poursuite. Le recourant est en outre débiteur d’actes de défaut de biens pour un montant total de CHF 5'927.70. L’ampleur des montants dus est confirmée par le décompte de l’Office des poursuites du 9 mars 2020 produit par le recourant. Ces éléments empêchent déjà de retenir la vraisemblance de solvabilité. Le recourant soutient que son entreprise génère des bénéfices et que les factures envoyées à ses clients permettront de payer ses dettes. Il ne s’agit toutefois que de pures hypothèses du recourant qui ne sont pas suffisantes pour rendre vraisemblable sa solvabilité. Dans ces circonstances, il y a lieu d’admettre que le recourant ne se trouve pas uniquement de manière temporaire dans l'impossibilité d'honorer ses dettes échues, mais que ses difficultés financières sont au contraire durables. Partant, le recours doit être rejeté et la faillite prononcée en première instance confirmée. Tribunal cantonal TC Page 4 de 4</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n'y a pas lieu d'allouer d’équitable indemnité de partie à l’intimée, dès lors qu’elle n’a pas été invitée à se déterminer sur le recours. la Cour arrête : I. Le recours est rejeté. Partant, la décision de faillite rendue le 26 février 2020 par le Président ad hoc du Tribunal civil de l'arrondissement de la Broye est confirmée. II. La requête d’effet suspensif du 9 mars 2020 est sans objet. III. Les frais de la procédure de recours sont mis à la charge de A.________. Les frais judiciaires dus à l’Etat sont fixés à CHF 500.- (émolument forfaitaire).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