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240 vom 2. Februar 2021</w:t>
      </w:r>
    </w:p>
    <w:p>
      <w:r>
        <w:t>FR Kantonsgericht, 2021-02-02, DE</w:t>
      </w:r>
    </w:p>
    <w:p>
      <w:r>
        <w:rPr>
          <w:b/>
        </w:rPr>
        <w:t xml:space="preserve">Quelle: </w:t>
      </w:r>
      <w:r>
        <w:t>https://mcp.opencaselaw.ch/entscheid/fr_gerichte_102_2020_240</w:t>
      </w:r>
    </w:p>
    <w:p>
      <w:r>
        <w:t>FR: FR_GERICHTE 102 2020 240 du 2 février 2021</w:t>
      </w:r>
    </w:p>
    <w:p>
      <w:r>
        <w:t>IT: FR_GERICHTE 102 2020 240 del 2 febbraio 2021</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Sensebezirks vom 10. Dezember 2020 wurde der Beschwerdeführerin am 17. Dezember 2020 zugestellt. Die am 24. Dezember 2020 eingereichte Beschwerde erfolgte somit fristgerecht.</w:t>
      </w:r>
    </w:p>
    <w:p>
      <w:r>
        <w:rPr>
          <w:b/>
        </w:rPr>
        <w:t>E. 1.2</w:t>
      </w:r>
    </w:p>
    <w:p>
      <w:r>
        <w:t>Mit der Beschwerde kann die unrichtige Rechtsanwendung und/oder die offensichtlich unrichtige Feststellung des Sachverhalts geltend gemacht werden (Art. 320 ZPO). Die Parteien</w:t>
      </w:r>
    </w:p>
    <w:p>
      <w:r>
        <w:t>Kantonsgericht KG Seite 3 von 6 können dabei nach Art. 174 SchKG unechte Noven (Abs. 1) sowie unter bestimmten Vorausset- zungen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 Zu tilgen ist die betriebene Forderung inkl. sämtlicher Kosten. Hinzukommen die Kosten des Konkursgerichts sowie des Konkursamts (TALBOT, in Kommentar zum Bundesgesetz über Schuldbetreibung und Konkurs,</w:t>
      </w:r>
    </w:p>
    <w:p>
      <w:r>
        <w:rPr>
          <w:b/>
        </w:rPr>
        <w:t>E. 2.2</w:t>
      </w:r>
    </w:p>
    <w:p>
      <w:r>
        <w:t>Gemäss Vorladung des Gerichtspräsidenten vom 10. November 2020 betrug der Ausstand, inklusive Zins, Betreibungs- und Inkassokosten sowie Entscheidgebühr zu jenem Zeitpunkt insge- samt CHF 6‘318.75. Die A.________ AG Bauunternehmung in Liquidation überwies dem Kantons-</w:t>
      </w:r>
    </w:p>
    <w:p>
      <w:r>
        <w:t>Kantonsgericht KG Seite 4 von 6 gericht Freiburg, mit Valuta 23. Dezember 2020, einen Betrag von CHF 10’000.-. Es ist demnach festzustellen, dass die Beschwerdeführerin den geschuldeten Betrag inkl. aller Kosten bei der Rechtsmittelinstanz zuhanden des Gläubigers hinterlegt hat. Damit ist eine Voraussetzung von Art. 174 Abs. 2 SchKG erfüllt.</w:t>
      </w:r>
    </w:p>
    <w:p>
      <w:r>
        <w:rPr>
          <w:b/>
        </w:rPr>
        <w:t>E. 2.3</w:t>
      </w:r>
    </w:p>
    <w:p>
      <w:r>
        <w:t>Bezüglich der Zahlungsfähigkeit bringt die Beschwerdeführerin vor, dass nicht bestritten werde, dass mehrere Betreibungen gegen sie laufen würden. Sie macht aber geltend, dass die neun Betreibungen der D.________ betreffend Mehrwertsteuern nicht gerechtfertigt seien und diesbezüglich neue Abrechnungen erfolgt seien. Auch die drei Betreibungen der E.________ seien in der Höhe nicht richtig, da die Berechnungen auf einer zu hohen Lohnsumme basieren würden. Gleiches würde für die Betreibungen des F.________ (Nr. ggg) und der B.________ (Nr. hhh) gelten. Sie macht weiter geltend, dass die verschiedenen Betreibungen, welche zu Konkursandro- hungen führten, in der Zwischenzeit durch Bezahlung getilgt worden seien: so die Betreibungen Nr. iii, jjj, kkk und lll. Die noch bestehenden Forderungen würden durch die flüssigen Bankguthaben in Höhe von CHF 24‘627.31 mehr als gedeckt. Weiter macht die Beschwerdeführerin geltend, dass sie Eigentü- merin mehrerer Liegenschaften in M.________ sei, deren Wert nach Berücksichtigung der darauf lastenden Hypotheken rund eine halbe Million Franken ausmachen würde, und mit welchen Miet- einnahmen generiert würden. Zudem verfüge sie über mehrere verwertbare Fahrzeuge und Anhänger mit einem geschätzten Wert von ca. CHF 42‘000.- sowie über ein Warenlager im Wert von ca. CHF 10‘000.-. Schliesslich verfüge sie über Debitorenguthaben in Höhe von CHF 107‘987.80.</w:t>
      </w:r>
    </w:p>
    <w:p>
      <w:r>
        <w:rPr>
          <w:b/>
        </w:rPr>
        <w:t>E. 2.4</w:t>
      </w:r>
    </w:p>
    <w:p>
      <w:r>
        <w:t>Wie die Beschwerdeführerin selber ausführt, bestehen unbezahlte Rechnungen. Was die am 16. Juni 2020 von der D.________ eingeleiteten neun Betreibungen anbelangt, so beruhten diese auf amtlichen Schätzungen, welche sich im Nachhinein als zu hoch erwiesen. Die Beschwer- deführerin hat acht korrigierte Abrechnungen der D.________ für die Jahre 2018 und 2019 vom 21. Dezember 2020 eingereicht. Daraus ergeben sich Korrekturen zu Gunsten der Beschwerde- führerin in Höhe von rund CHF 180’000.- (BB 11). Weiter ergibt sich aus dem nachträglich einge- reichten Kontoauszug vom 29. Dezember 2020 (echtes novum) der D.________, dass nach Über- prüfung der Abrechnungen für das Jahr 2020 auch für diese Rechnungsperiode ein Saldo zu Gunsten der Beschwerdeführerin in Höhe von CHF 41‘052.01 besteht. Die entsprechenden Betrei- bungen können deshalb vorliegend nicht mehr berücksichtigt werden. Es bestehen aber auch nach diesen Korrekturen immer noch Ausstände für die Mehrwertsteuern in Höhe von rund CHF 56'000.- (CHF 277'000 – 180'000 – 41'000). Dieser Betrag wird aber erst fällig, wenn diesbe- züglich ein definitiver und vollstreckbarer Entscheid vorliegt. Die Beschwerdeführerin hat auch glaubhaft dargelegt, dass die von der E.________, dem F.________ und der B.________ eingeleiteten Betreibungen auf einer falschen Lohnsumme basieren würden und die geforderten Beiträge zu korrigieren sind. In der Tat basieren die Abrech- nungen der B.________ für das Jahr 2020 auf einer Lohnsumme von CHF 75'000.- pro Quartal (BB 15). Die Beschwerdeführerin hat aber im Jahre 2020 sein Personal stark reduziert und ledig- lich Bruttolöhne in Höhe von CHF 82'742.70 ausbezahlt (BB 14). Es trifft zu, dass die Betreibungen Nr. iii, jjj, kkk und lll, welche in Konkursandrohungen mündeten, mit der Tilgung der geforderten Beträge erledigt sind. Nebst der Betreibung, welche Gegenstand des vorliegenden Verfahrens bildet, liegen – mit Ausnahme der Betreibung Nr. hhh im Betrage von CHF 5'862.50 – keine weiteren vollstreckbaren</w:t>
      </w:r>
    </w:p>
    <w:p>
      <w:r>
        <w:t>Kantonsgericht KG Seite 5 von 6 Betreibungen gegen die Beschwerdeführerin vor. Die übrigen im Jahre 2020 angehobenen Betrei- bungen befinden sich im Einleitungsstadium. Es ist somit festzustellen, dass mit den liquiden Mitteln (CHF 28’000.-) die in Betreibung gesetzten anerkannten Forderungen beglichen werden können und die Debitorenguthaben (rund CHF 154'000.-) ausreichen, um weitere Schulden zu begleichen. Zusätzlich verfügt die Beschwer- deführerin über weitere Sicherheiten in Form von Grundeigentum und verwertbarer Fahrhabe. Aus den von der Beschwerdeführerin beigebrachten Unterlagen ergibt sich folglich insgesamt, dass deren Zahlungsfähigkeit und Wirtschaftlichkeit gegeben sind. Mit Blick darauf, dass keine allzu strengen Anforderungen an die Glaubhaftmachung der Zahlungsfähigkeit gestellt werden dürfen, ist diese somit gesamthaft als glaubhaft gemacht zu betrachten. Die Beschwerde ist gutzuheissen und die Konkurseröffnung aufzuheben. 3. 3.1. Da die Beschwerdeführerin das Verfahren durch nicht rechtzeitiges Bezahlen des geschul- deten Betrages verursacht hat, sind ihr die Prozesskosten für beide Instanzen aufzuerlegen (Art. 108 ZPO). Die Gerichtskosten für das erstinstanzliche Verfahren werden auf CHF 200.- festgesetzt und der Beschwerdeführerin auferlegt; sie werden von dem durch die Gesuchstellerin geleisteten Kosten- vorschuss bezogen und sind ihr durch die Beschwerdeführerin zu ersetzen. Die Gerichtskosten für das Beschwerdeverfahren werden auf CHF 500.- festgesetzt und mit dem von der Beschwerdeführerin geleisteten Kostenvorschuss verrechnet (Art. 52 und 61 Abs. 1 GebV SchKG). 3.2. Es wird keine Parteientschädigung zugesprochen. (Dispositiv auf nachfolgender Seite)</w:t>
      </w:r>
    </w:p>
    <w:p>
      <w:r>
        <w:t>Kantonsgericht KG Seite 6 von 6 Der Hof erkennt: I. Die Beschwerde wird gutgeheissen. Der Konkursentscheid des Präsidenten des Zivilgerichts des Sensebezirks vom 10. Dezem- ber 2020 wird aufgehoben. II. Der von A.________ AG Bauunternehmung in Liquidation beim Kantonsgericht hinterlegte Betrag von CHF 10’000.- wird zuhanden der B.________ (Betreibung Nr. ccc) dem Betrei- bungsamt des Sensebezirks überwiesen. Ein allfälliger Saldo ist der A.________ AG Bauun- ternehmung in Liquidation zurückzuerstatten. III. Die Prozesskosten beider Instanzen werden der A.________ AG Bauunternehmung in Liqui- dation auferlegt. Die Gerichtskosten für das erstinstanzliche Verfahren werden auf CHF 200.- festgesetzt; sie werden vom Kostenvorschuss der B.________ bezogen und sind dieser durch die A.________ AG Bauunternehmung zurückzuerstatten. Die Gerichtskosten für das Beschwerdeverfahren werden auf CHF 500.- festgesetzt und mit dem durch die A.________ AG Bauunternehmung in Liquidation geleisteten Kostenvor- schuss verrechnet. Es werden keine Parteientschädigungen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 Februar 2021/mdu Der Vizepräsident: Die Gerichtsschreiberin:</w:t>
      </w:r>
    </w:p>
    <w:p>
      <w:r>
        <w:rPr>
          <w:b/>
        </w:rPr>
        <w:t>E. 4</w:t>
      </w:r>
    </w:p>
    <w:p>
      <w:r>
        <w:t>Aufl. 2017, Art. 174 N. 14).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 verwirk- 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Leistungsfähigkeit des Unternehmens des Schuldners nicht von vornherein ausgeschlossen werden kann. Es liegt am Schuldner, Beweismit- tel vorzulegen, die geeignet sind, seine Zahlungsfähigkeit als glaubhaft erscheinen zu lassen. Der Schuldner muss namentlich nachweisen, dass gegen ihn kein Konkursbegehren in einer ordentli- chen Konkurs- oder in einer Wechselbetreibung hängig ist und dass keine weiteren vollsteckbaren Betreibungen vorliegen. Zahlungsfähigkeit bedeutet, dass ausreichend liquide Mittel zur Beglei- chung der fälligen Schulden vorhanden sind. Grundsätzlich als zahlungsunfähig erweist sich ein Schuldner, der beispielsweise Konkursandrohungen anhäufen lässt, systematisch Rechtsvor- schlag erhebt und selbst kleinere Beträge nicht bezahlt. Bloss vorübergehende Zahlungsschwierig- 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Gesamteindrucks (STAEHELIN, in Basler Kommentar SchKG, Ergänzungsband zur 2. Aufl. 2017, Art. 174 N. 26a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