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237 vom 19. Februar 2021</w:t>
      </w:r>
    </w:p>
    <w:p>
      <w:r>
        <w:t>FR Kantonsgericht, 2021-02-19, FR</w:t>
      </w:r>
    </w:p>
    <w:p>
      <w:r>
        <w:rPr>
          <w:b/>
        </w:rPr>
        <w:t xml:space="preserve">Quelle: </w:t>
      </w:r>
      <w:r>
        <w:t>https://mcp.opencaselaw.ch/entscheid/fr_gerichte_102_2020_237</w:t>
      </w:r>
    </w:p>
    <w:p>
      <w:r>
        <w:t>FR: FR_GERICHTE 102 2020 237 du 19 février 2021</w:t>
      </w:r>
    </w:p>
    <w:p>
      <w:r>
        <w:t>IT: FR_GERICHTE 102 2020 237 del 19 febbraio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au recourant le 18 décembre 2020 et celui-ci a recouru le 23 décembre 2020,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w:t>
      </w:r>
    </w:p>
    <w:p>
      <w:r>
        <w:t>Tribunal cantonal TC Page 3 de 4 l'art. 191 LP (arrêt TF 5P.399/1999 du 14 janvier 2000 consid. 2b ; BSK SchKG II – GIROUD, 2ème éd. 2010, art. 174 n. 26) ;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le recourant a produit un extrait bancaire attestant d’un versement de CHF 510.90 à l’Office des poursuites de la Sarine en faveur de la créancière et une quittance du Tribunal de la Sarine certifiant qu’il a déposé la somme de CHF 164.40 couvrant les frais de greffe. Partant, A.________ a démontré qu’il s’était acquitté de la dette afférant à la poursuite n°ccc, de même que des intérêts et des frais, soit de la somme totale de CHF 675.30 (cf. bordereau du recours, pièces 7 et 16). La condition de l'art. 174 al. 2 ch. 1 LP est dès lors réalisée.</w:t>
      </w:r>
    </w:p>
    <w:p>
      <w:r>
        <w:rPr>
          <w:b/>
        </w:rPr>
        <w:t>E. 2.3</w:t>
      </w:r>
    </w:p>
    <w:p>
      <w:r>
        <w:t>Concernant la solvabilité de A.________, s’il est vrai qu’il ressort des deux extraits de poursuites produits qu'il a des dettes pendantes pour un peu plus de CHF 30'000.- (cf. bordereau du recours, pièces 9 et 10), le recourant s’est acquitté de l’unique acte de défaut de biens enregistré à son encontre (cf. bordereau du recours, pièce 18), de même qu’il a réglé les montants des poursuites étant au stade de la commination de faillite, intérêts et frais compris (cf. bordereau du recours, pièces 13, 14, 17 et 18). De plus, à la lecture des pièces produites à l’appui du recours, il apparaît que A.________ dispose de liquidités pour un montant de plus de CHF 50'000.- (cf. bordereau du recours, pièce11) et qu’il est dans l’attente du paiement de nombreuses créances pour un total de CHF 27'938.50 (cf. bordereau du recours, pièce 19). Ces indices donnent à penser que A.________ s'est trouvé de manière temporaire dans l'impossibilité d'honorer ses dettes échues. Celles-ci étant désormais en grande partie réglées et ce dernier disposant d'avoirs, sa solvabilité doit être considérée comme vraisemblable, de sorte que la deuxième condition cumulative est satisfaite. Il s'ensuit que le recours doit être admis et la faillite annulée.</w:t>
      </w:r>
    </w:p>
    <w:p>
      <w:r>
        <w:rPr>
          <w:b/>
        </w:rPr>
        <w:t>E. 3</w:t>
      </w:r>
    </w:p>
    <w:p>
      <w:r>
        <w:t>Si le recours est admis, c'est uniquement en raison des faits nouveaux créés et invoqués par le failli, plus particulièrement son paiement du 18 décembre 2020 au Tribunal de la Sarine. Les frais de procédure de première instance et de recours seront par conséquent mis à la charge du recourant qui, par son comportement négligent, a occasionné la procédure (art. 108 CPC). Pour l’instance de recours, ils sont fixés au montant forfaitaire de CHF 500.- (émolument global ; art. 52 et 61 OELP). Pour la première instance, ils sont fixés à CHF 140.- comme mentionné dans la décision de la Présidente du Tribunal civil de l’arrondissement de la Sarine.</w:t>
      </w:r>
    </w:p>
    <w:p>
      <w:r>
        <w:t>Tribunal cantonal TC Page 4 de 4 Il n’est pas alloué de dépens. la Cour arrête : I. Le recours est admis. Partant, la décision du 14 décembre 2020 rendue par la Présidente du Tribunal civil de l’arrondissement de la Sarine prononçant la faillite de A.________ est annulée. II. Les frais de procédure des deux instances sont mis à la charge de A.________. L'émolument de justice s'élève à CHF 140.- pour la première instance; il sera prélevé sur l'avance de frais effectuée par B.________ SA, qui a été remboursée par A.________. Le solde de l'avance de frais sera restitué à B.________ SA. L'émolument global est fixé à CHF 500.- pour la seconde instance; il sera prélevé sur l'avance effectuée par A.________. III.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février 2021/sag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