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 vom 1. April 2020</w:t>
      </w:r>
    </w:p>
    <w:p>
      <w:r>
        <w:t>FR Kantonsgericht, 2020-04-01, FR</w:t>
      </w:r>
    </w:p>
    <w:p>
      <w:r>
        <w:rPr>
          <w:b/>
        </w:rPr>
        <w:t xml:space="preserve">Quelle: </w:t>
      </w:r>
      <w:r>
        <w:t>https://mcp.opencaselaw.ch/entscheid/fr_gerichte_102_2020_2</w:t>
      </w:r>
    </w:p>
    <w:p>
      <w:r>
        <w:t>FR: FR_GERICHTE 102 2020 2 du 1 avril 2020</w:t>
      </w:r>
    </w:p>
    <w:p>
      <w:r>
        <w:t>IT: FR_GERICHTE 102 2020 2 del 1 aprile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t>Tribunal cantonal TC Page 3 de 5 Les allégations et les pièces produites par la recourante au stade du recours seulement constituent de nouveaux moyens, lesquels sont tardifs au regard de l’art. 326 al. 1 CPC, et ainsi irrecevables. Il n’en sera dès lors pas tenu compte et la Cour statuera sur la base des allégués et des pièces produites en première instance.</w:t>
      </w:r>
    </w:p>
    <w:p>
      <w:r>
        <w:rPr>
          <w:b/>
        </w:rPr>
        <w:t>E. 2.1</w:t>
      </w:r>
    </w:p>
    <w:p>
      <w:r>
        <w:t>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Aux termes de l’art. 82 al. 1 LP, le créancier dont la poursuite se fonde sur une reconnaissance de dette peut requérir la mainlevée provisoire. Le juge la prononce si le débiteur ne rend pas immédiatement vraisemblable sa libération (art. 82 al. 2).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et les références citées). Le montant déterminable peut résulter du rapprochement de plusieurs pièces, à condition que les éléments nécessaires en résultent. Cela signifie que l'acte signé par le poursuivi doit faire référence ou renvoyer de manière claire et directe à des pièces qui permettent de chiffrer la dette. Il doit en effet exister un lien manifeste et non équivoque entre la reconnaissance de dette et les autres pièces, et le montant dû doit pouvoir être calculé facilement sur la base de ces pièces (arrêt TF 5A_867/2012 du 7 mars 2013 consid. 4.1 et les réf. citées). Selon la jurisprudence cantonale et la doctrine, le montant de la créance peut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2.2.1</w:t>
      </w:r>
    </w:p>
    <w:p>
      <w:r>
        <w:t>En l’espèce, il ressort de l’annexe au contrat de maintenance signée le 27 août 2010 par l’opposante qu’elle reconnaît devoir à la requérante un montant mensuel total de CHF 209.80 pour</w:t>
      </w:r>
    </w:p>
    <w:p>
      <w:r>
        <w:t>Tribunal cantonal TC Page 4 de 5 un ZyXEL NSA-2401 - 2T à CHF 50.-, trois stations de travail à CHF 135.- (3 x CHF 45.-) et une imprimante à CHF 10.-, dès le 1er septembre 2010, ce qui constitue une reconnaissance de dette pour le montant mensuel de CHF 209.80. Ce contrat n’a en tous les cas pas pris fin avant le 15 avril 2017, date du courrier de résiliation. La requérante a également produit diverses factures adressées à l’opposante pour des prestations. Certaines d’entre elles portent sur les prestations prévues dans l’annexe au contrat de maintenance. Il s’agit des factures du 7 mars 2013 (avril à juin 2013 pour CHF 585.- + TVA), du 5 décembre 2013 (janvier à mars 2014 pour CHF 435.- + TVA), du 6 mars 2014 (avril à juin 2014 pour CHF 435.- + TVA), du 26 mai 2014 (juillet à septembre 2014 pour CHF 435.- + TVA), du 18 août 2014 (octobre à décembre 2014 pour CHF 435.- + TVA), du 10 décembre 2014 (janvier à mars 2015 pour CHF 435.- + TVA), du 11 mars 2015 (avril à juin 2015 pour CHF 435.- + TVA), du 10 juin 2015 (juillet à septembre 2015 pour CHF 435.- + TVA), du 4 septembre 2015 (octobre à décembre 2015 pour CHF 435.- + TVA), du 7 décembre 2015 (janvier à mars 2016 pour CHF 110.- + TVA), du 10 mars 2016 (avril à juin 2016 pour CHF 110.- + TVA), du 9 juin 2016 (juillet à septembre 2016 pour CHF 110.- + TVA), du 9 septembre 2016 (octobre à décembre 2016 pour CHF 110.- + TVA), et du 27 décembre 2016 (janvier à mars 2017 pour CHF 110.- + TVA). L’annexe au contrat vaut ainsi reconnaissance de dette pour les prestations qu’elle prévoit et qui ressortent des factures précitées, soit un total de CHF 4'615.- + TVA. De son côté, l’opposante n’a pas rendu immédiatement vraisemblable sa libération, étant précisé que le juge de la mainlevée n'a pas à examiner la validité de la créance déduite en poursuite, son rôle se limitant à la constatation de l'existence ou non d'un titre de mainlevée exécutoire. Partant, la mainlevée provisoire devait être prononcée.</w:t>
      </w:r>
    </w:p>
    <w:p>
      <w:r>
        <w:rPr>
          <w:b/>
        </w:rPr>
        <w:t>E. 2.2.2</w:t>
      </w:r>
    </w:p>
    <w:p>
      <w:r>
        <w:t>Au demeurant, même si l’on devait tenir compte des allégués et des pièces irrecevables de la recourante (cf. supra consid. 1.3.), ils ne lui seraient d’aucun secours. En effet, la recourante soutient avoir payé le montant de CHF 631.80 relatif à la facture pour la période d’avril à juin 2013, ce que l’intimée conteste dans sa détermination. Elle n’a toutefois pas apporté une preuve de ce paiement, produisant uniquement un décompte qu’elle a elle-même établi. Si les montants des factures produites par la requérante ne correspondent pas aux montants retenus par le Président dans sa décision, comme le relève la recourante, c’est en raison du fait qu’il n’a accordé la mainlevée que pour les prestations facturées correspondant à celles figurant dans la reconnaissance de dette. Concernant les factures produites par la requérante du 4 décembre 2014 portant sur un montant de CHF 2'466.45, et celle du 23 juillet 2015 portant sur un montant de CHF 121.50, le Président n’a pas accordé la mainlevée provisoire pour les montants dont elles font l’objet de sorte que la recourante n’a pas à argumenter sur celles-ci. Enfin, s’agissant de l’arrangement de paiement pour solde de tout compte que la recourante soutient avoir conclu avec l’intimée, cette dernière le conteste et la recourante n’apporte aucune preuve de son existence. Partant, les griefs de la recourante seraient de toute manière mal fondés. Il s’ensuit le rejet du recours et la confirmation de la décision attaquée.</w:t>
      </w:r>
    </w:p>
    <w:p>
      <w:r>
        <w:rPr>
          <w:b/>
        </w:rPr>
        <w:t>E. 3.1</w:t>
      </w:r>
    </w:p>
    <w:p>
      <w:r>
        <w:t>Les frais de la procédure de recours doivent être mis à la charge de la recourante, qui succombe (art. 106 al. 1 CPC). Ils comprennent les frais judiciaires, fixés forfaitairement à CHF 250.- (art. 48 et 61 al. 1 OELP).</w:t>
      </w:r>
    </w:p>
    <w:p>
      <w:r>
        <w:rPr>
          <w:b/>
        </w:rPr>
        <w:t>E. 3.2</w:t>
      </w:r>
    </w:p>
    <w:p>
      <w:r>
        <w:t>Il n’y a pas lieu d’allouer de dépens à l’intimée, qui n’a pas d’avocat, et qui n’en a pas sollicités.</w:t>
      </w:r>
    </w:p>
    <w:p>
      <w:r>
        <w:t>Tribunal cantonal TC Page 5 de 5 la Cour arrête : I. Le recours est rejeté. Partant, la décision du Président du Tribunal civil de l’arrondissement de la Sarine du 26 novembre 2019 est confirmée. II. Les frais sont mis à la charge de A.________ SA. Les frais judiciaires sont fixés à CHF 250.-.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avril 2020/say Le-Vice-Président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