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197 vom 1. Dezember 2020</w:t>
      </w:r>
    </w:p>
    <w:p>
      <w:r>
        <w:t>FR Kantonsgericht, 2020-12-01, DE</w:t>
      </w:r>
    </w:p>
    <w:p>
      <w:r>
        <w:rPr>
          <w:b/>
        </w:rPr>
        <w:t xml:space="preserve">Quelle: </w:t>
      </w:r>
      <w:r>
        <w:t>https://mcp.opencaselaw.ch/entscheid/fr_gerichte_102_2020_197</w:t>
      </w:r>
    </w:p>
    <w:p>
      <w:r>
        <w:t>FR: FR_GERICHTE 102 2020 197 du 1 décembre 2020</w:t>
      </w:r>
    </w:p>
    <w:p>
      <w:r>
        <w:t>IT: FR_GERICHTE 102 2020 197 del 1 dicembre 2020</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26. Oktober 2020 wurde dem Beschwerdeführer frühestens am 27. Oktober 2020 zugestellt. Die am 6. November 2020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 zungen echte Noven (Abs. 2) vorbringen.</w:t>
      </w:r>
    </w:p>
    <w:p>
      <w:r>
        <w:rPr>
          <w:b/>
        </w:rPr>
        <w:t>E. 1.3</w:t>
      </w:r>
    </w:p>
    <w:p>
      <w:r>
        <w:t>Die Rechtsmittelinstanz kann aufgrund der Akten entscheiden (Art. 327 Abs. 2 ZPO).</w:t>
      </w:r>
    </w:p>
    <w:p>
      <w:r>
        <w:t>Kantonsgericht KG Seite 3 von 6</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 Zu tilgen ist die betriebene Forderung inkl. sämtlicher Kosten. Hinzukommen die Kosten des Konkursgerichts sowie des Konkursamts (TALBOT, in Kommentar zum Bundesgesetz über Schuldbetreibung und Konkurs,</w:t>
      </w:r>
    </w:p>
    <w:p>
      <w:r>
        <w:rPr>
          <w:b/>
        </w:rPr>
        <w:t>E. 2.2</w:t>
      </w:r>
    </w:p>
    <w:p>
      <w:r>
        <w:t>Gemäss Vorladung des Gerichtspräsidenten vom 23. September 2020 betrug der Ausstand, inklusive Zins, Betreibungs- und Inkassokosten sowie Entscheidgebühr zu jenem Zeit- punkt insgesamt CHF 2‘435.85. A.________ überwies am 5. November 2020 einen Betrag von CHF 2‘500.- an die Gerichtskasse des Kantonsgerichts. Es ist somit festzustellen, dass der Beschwerdeführer die Schuld, die Anlass zum vorliegenden Konkursverfahren gegeben hat, hinter- legt hat und die Gläubigerin gemäss ihrer Beschwerdeantwort vom 19. November 2020 unter gewissen Voraussetzungen bereit ist, das Konkursbegehren zurückzuziehen. Damit ist eine Voraussetzung von Art. 174 Abs. 2 SchKG erfüllt.</w:t>
      </w:r>
    </w:p>
    <w:p>
      <w:r>
        <w:rPr>
          <w:b/>
        </w:rPr>
        <w:t>E. 2.3</w:t>
      </w:r>
    </w:p>
    <w:p>
      <w:r>
        <w:t>In Bezug auf die Zahlungsfähigkeit bringt der Beschwerdeführer vor, dass der Geschäftsge- winn seiner Einzelfirma im Jahre 2019 nur CHF 5‘912.67 betrug. Dies möge auf den ersten Augen- blick gering erscheinen, aber aller Anfang sei schwer und am Anfang stünden in der Regel zuerst Geschäftsinvestitionen an. Hinzu komme, dass der Abschluss 2019 nicht das ganze Jahr betreffe, da die Firma erst im Verlaufe des Jahres gegründet worden sei. Entsprechend könne die Buchhal- tung 2019 noch nicht stark aussagekräftig sein. Er räumt ein, dass zahlreiche Betreibungen gegen ihn bestehen würden. Die meisten Betreibungen würden jedoch frühere Perioden, als er arbeitslos und noch nicht selbstständig gewesen sei, betreffen. Zudem würden die meisten neueren Betrei- bungen die Wiederaufnahme früherer Betreibungen, d.h. von Verlustscheinen, betreffen. Zudem handle es sich bei den meisten Betreibungen um Steuerschulden und um Schulden bei Sozialver- sicherungen, welche der Betreibung auf Pfändung unterliegen würden. Das Betreibungsamt habe ausgerechnet, dass monatlich ein Betrag von CHF 1‘150.- gepfändet werden könne. Er habe diese Beträge laufend bezahlt und bemühe sich redlich seine Schulden abzubezahlen. Das Betreibungs- amt habe ausgerechnet, dass er ein monatliches Einkommen von CHF 3‘000 erzielen würde. Da praktisch alle Betreibungen gegen ihn der Betreibung auf Pfändung unterliegen würden und er die monatlich gepfändeten Beträge abgeliefert habe, sei er der irrtümlichen Auffassung gewesen, dass alle Betreibungen gegen ihn der Pfändung unterliegen würden und er durch die monatlichen Zahlungen von CHF 1‘150.- seinen Verpflichtungen nachgekommen sei. Er verfüge nicht über die Kenntnisse um den Unterschied zwischen Betreibung auf Pfändung und Betreibung auf Konkurs machen zu können. Beim vorliegenden Konkurserkenntnis sei er letzten Endes Opfer eines Irrtums geworden. Er verfüge gegenwärtig über ein Guthaben von CHF 8‘659.83. Er sei auch daran, seinen Zahlungsverpflichtungen direkt und nicht mehr über das Betreibungsamt nachzukommen. Es sei auch zu berücksichtigen, dass er sich bemühe aus seinen Schulden herauszukommen. Diese Bemühungen würden durch einen Konkurs zunichte gemacht.</w:t>
      </w:r>
    </w:p>
    <w:p>
      <w:r>
        <w:rPr>
          <w:b/>
        </w:rPr>
        <w:t>E. 2.4</w:t>
      </w:r>
    </w:p>
    <w:p>
      <w:r>
        <w:t>Aus dem vom Beschwerdeführer eingereichten Auszug aus dem Betreibungsregister ergibt sich, dass seit 1997 Betreibungen im Gesamtbetrag von CHF 110‘882.15 gegen ihn eingeleitet wurden. Bei näherer Betrachtung ergibt sich, dass Forderungen in Höhe von rund CHF 28‘000.- vom Beschwerdeführer bezahlt wurden, Betreibungen in Höhe von rund CHF 6‘000.- erloschen sind und bei weiteren Betreibungen im Umfange von CHF 4‘700.- der Rechtsvorschlag nie besei- tigt wurde. Gegenwärtig laufen Pfändungen für Forderungen in Höhe von rund CHF 20‘800.-. Zudem wurden seit Beginn des Jahres vier Betreibungen für einen Betrag von total CHF 4643.- eingeleitet. Die letzten beiden Betreibungen betreffen Forderungen der Ausgleichskasse des Kantons Freiburg. Gemäss dem Betreibungsregisterauszug wurden in den letzten 20 Jahren 15 Verlustscheine im Umfang von CHF 31‘449.05 gegen den Beschwerdeführer ausgestellt. Fünf Verlustscheine betref-</w:t>
      </w:r>
    </w:p>
    <w:p>
      <w:r>
        <w:t>Kantonsgericht KG Seite 5 von 6 fen Forderungen aus öffentlichem Recht im Betrag von CHF 22‘620.- (öffentliche Arbeitslosenkas- se, Kantons- und Gemeindesteuern). Es bestehen somit Verlustscheine in Höhe von fast CHF 9‘000.- für weitere Forderungen. Es ist festzustellen, dass selbst diese durch die behaupteten und lediglich mit einem Screenshot belegten flüssigen Mittel in Höhe von CHF 8‘659.83 (Stand 30. Oktober 2020) nicht gedeckt sind. Weiter liegen nur ungenügende Unterlagen über die Einzelunternehmung des Beschwerdeführers vor. Aus der sehr summarisch gehaltenen Buchhaltung für das Jahr 2019 ergibt sich, dass flüssige Mittel in Höhe von CHF 1‘004.24 vorhanden waren und ein Gewinn von CHF 5‘912.67 erzielt wurde. Für das laufende Jahr fehlen jegliche Angaben über den Geschäftsgang. Der Beschwerde- führer ist diesbezüglich seiner Substanziierungspflicht nicht nachgekommen. Insbesondere wäre es dem Beschwerdeführer zumutbar gewesen, eine Liste seiner Debitoren und Kreditoren sowie Bestätigungen über laufende Aufträge einzureichen, um das Gesamtbild über seine aktuelle finan- zielle Situation darzulegen. Nach dem Gesagten muss festgestellt werden, dass der Beschwerdeführer seine Zahlungsfähig- keit nicht glaubhaft gemacht hat. Die Beschwerde ist demnach abzuweisen und der Konkursent- scheid zu bestätigen.</w:t>
      </w:r>
    </w:p>
    <w:p>
      <w:r>
        <w:rPr>
          <w:b/>
        </w:rPr>
        <w:t>E. 2.5</w:t>
      </w:r>
    </w:p>
    <w:p>
      <w:r>
        <w:t>Der vorliegenden Beschwerde wurde mit Verfügung vom 10. November 2020 die aufschie- bende Wirkung erteilt, so dass der Konkurs mit heutigem Tag neu ausgesprochen werden muss. 3. Der Beschwerdeführer wird auf die Möglichkeit eines Widerrufs des Konkurses hingewiesen (Art. 195 SchKG).</w:t>
      </w:r>
    </w:p>
    <w:p>
      <w:r>
        <w:rPr>
          <w:b/>
        </w:rPr>
        <w:t>E. 4</w:t>
      </w:r>
    </w:p>
    <w:p>
      <w:r>
        <w:t>Aufgrund der Abweisung der Beschwerde und der Bestätigung des erstinstanzlichen Entscheids wird der beim Kantonsgericht hinterlegte Betrag von CHF 2‘500.- unverzüglich dem Kantonalen Konkursamt überwiesen, da dieser in die Konkursmasse fällt.</w:t>
      </w:r>
    </w:p>
    <w:p>
      <w:r>
        <w:rPr>
          <w:b/>
        </w:rPr>
        <w:t>E. 5</w:t>
      </w:r>
    </w:p>
    <w:p>
      <w:r>
        <w:t>Die Prozesskosten des Beschwerdeverfahrens werden dem unterliegenden Beschwerdeführer auferlegt. Die Gerichtsgebühr ist pauschal auf CHF 500.- festzusetzen (Art. 52 und 61 Abs. 1 GebV SchKG). Es wurde zwar bei der Beschwerdegegnerin eine Vernehmlassung eingeholt; dieser sind aber keine weiteren Auslagen entstanden. Es ist somit keine Parteientschädigung zuzusprechen. (Dispositiv auf nächster Seite)</w:t>
      </w:r>
    </w:p>
    <w:p>
      <w:r>
        <w:t>Kantonsgericht KG Seite 6 von 6 Der Hof erkennt: I. Die Beschwerde wird abgewiesen. II. Der Entscheid des Präsidenten des Zivilgerichts des Seebezirks vom 26. Oktober 2020 wird bestätigt und der Zeitpunkt der Konkurseröffnung angepasst. Er lautet wie folgt: 1. Über A.________ wird der Konkurs eröffnet und der Zeitpunkt der Konkurseröffnung wird auf 1. Dezember 2020 um 8:50 Uhr festgesetzt. 2. Mit der Durchführung des Verfahrens wird das Kantonale Konkursamt beauftragt. 3. Die Kosten des Verfahrens, bestehend aus einer pauschalen Gerichtsgebühr von CHF 200.00, werden der Gesuchsgegnerin auferlegt und vom Kostenvorschuss der Gesuchstellerin bezogen. 4. Der Saldo des Kostenvorschusses wird dem Kantonalen Konkursamt überwiesen. III. Der beim Kantonsgericht hinterlegte Betrag von CHF 2‘500.- wird unverzüglich dem Kanto- nalen Konkursamt überwiesen. IV. Die Gerichtskosten für das Beschwerdeverfahren werden auf CHF 500.- festgesetzt. Sie werden A.________ auferlegt und mit dem geleisteten Kostenvorschuss verrechnet. Es werden keine Parteientschädigungen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 Dezember 2020/mdu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