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191 vom 3. November 2020</w:t>
      </w:r>
    </w:p>
    <w:p>
      <w:r>
        <w:t>FR Kantonsgericht, 2020-11-03, DE</w:t>
      </w:r>
    </w:p>
    <w:p>
      <w:r>
        <w:rPr>
          <w:b/>
        </w:rPr>
        <w:t xml:space="preserve">Quelle: </w:t>
      </w:r>
      <w:r>
        <w:t>https://mcp.opencaselaw.ch/entscheid/fr_gerichte_102_2020_191</w:t>
      </w:r>
    </w:p>
    <w:p>
      <w:r>
        <w:t>FR: FR_GERICHTE 102 2020 191 du 3 novembre 2020</w:t>
      </w:r>
    </w:p>
    <w:p>
      <w:r>
        <w:t>IT: FR_GERICHTE 102 2020 191 del 3 novembre 2020</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12. Oktober 2020 wurde der Beschwerdeführerin am 13. Oktober 2020 zugestellt. Die am 23. Oktober 2020 einge- 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 zungen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 Zu tilgen ist die betriebene Forderung inkl. sämtlicher Kosten. Hinzukommen die Kosten des Konkursgerichts sowie des Konkursamts (TALBOT, in Kommentar zum Bundesgesetz über Schuldbetreibung und Konkurs,</w:t>
      </w:r>
    </w:p>
    <w:p>
      <w:r>
        <w:rPr>
          <w:b/>
        </w:rPr>
        <w:t>E. 2.2</w:t>
      </w:r>
    </w:p>
    <w:p>
      <w:r>
        <w:t>Gemäss Vorladung des Gerichtspräsidenten vom 4. September 2020 betrug der Ausstand, inklusive Zins, Bearbeitungsgebühren, Betreibungs- und Gerichtskosten zu jenem Zeitpunkt CHF 1‘687.85. Die A.________ GmbH hinterlegte am 22. Oktober 2020 den Betrag von CHF 1‘692.55 beim Kantonsgericht. Damit ist eine Voraussetzung von Art. 174 Abs. 2 SchKG erfüllt.</w:t>
      </w:r>
    </w:p>
    <w:p>
      <w:r>
        <w:rPr>
          <w:b/>
        </w:rPr>
        <w:t>E. 2.3</w:t>
      </w:r>
    </w:p>
    <w:p>
      <w:r>
        <w:t>In Bezug auf die Zahlungsfähigkeit bringt die Beschwerdeführerin vor, der Betrieb sei Mitte Juli 2019 in sanierungsbedürftigem Zustand vom heutigen Geschäftsführer übernommen worden. Im Jahr 2019 sei seit der Geschäftsübernahme ein Umsatz von rund CHF 250‘000.- erwirtschaftet worden und im laufenden Jahr werde der Gesamtumsatz CHF 600‘000.- betragen. Da das Geschäftskonto vom Konkursamt gesperrt sei, könnten die Umsatzzahlen nicht mit Kontoauszügen belegt werden. Die Beschwerdeführerin habe momentan mehrere Aufträge, die sie fertigstellen oder zeitnah beginnen möchte. Sie arbeite regelmässig als Subunternehmer, wobei diese Auftraggeber auf Anfrage bestätigen könnten, dass eine regelmässige Zusammenarbeit stattfinde und dies auch in Zukunft angestrebt werde.</w:t>
      </w:r>
    </w:p>
    <w:p>
      <w:r>
        <w:t>Kantonsgericht KG Seite 4 von 5 Zudem verfüge die Beschwerdeführerin über eine sehr gute Auftragslage und die Sanierung sei auf gutem Wege. Sie könne ihre laufenden Kosten decken. Abgesehen von den Altlasten in Form von Steuer- und Mehrwertsteuerforderungen aus der Zeit vor 2019, habe es seit der Übernahme durch den neuen Geschäftsführer keine neuen Betreibungen gegeben. Die Forderungen der Beschwerdegegnerin seien nicht gerechtfertigt und es werde eine gesamthafte Lösung angestrebt. Um die Sanierung voranzutreiben, sei mit dem Betreibungsamt des Seebezirks vereinbart worden, dass monatlich ein Betrag zwischen CHF 2‘500.- und CHF 3‘000.- zur Schuldentilgung überwiesen werde. Eine Entschuldung ohne Verlust der Gläubiger sei somit in absehbarer Zeit realistisch. Dies alles lasse darauf schliessen, dass sich die Beschwerdeführerin bemühe und in der Lage sei, ihre Schulden zu begleichen, wenn auch teilweise erst nach einer gewissen Zeit. Die Zahlungsfä- higkeit erscheine nach den gesamten Umständen wahrscheinlicher als die Zahlungsunfähigkeit.</w:t>
      </w:r>
    </w:p>
    <w:p>
      <w:r>
        <w:rPr>
          <w:b/>
        </w:rPr>
        <w:t>E. 2.4</w:t>
      </w:r>
    </w:p>
    <w:p>
      <w:r>
        <w:t>Wie die Beschwerdeführerin selber ausführt, sind Betreibungen hängig. Dass diese Betrei- bungen angeblich Forderungen betreffen, die vor der Geschäftsübernahme entstanden sind, ändert daran nichts. Ein Blick in den von der Beschwerdeführerin eingereichten Auszug der laufen- den Betreibungen vom 20. Oktober 2020 zeigt Betreibungen in Höhe von insgesamt CHF 126‘112.45, wovon nebst der Betreibung, welche dem vorliegenden Verfahren zugrunde liegt, weitere fünf Betreibungen im Stadium der Konkursandrohung sind. Ob die der Beschwerdeführerin zur Verfügung stehenden finanziellen Mittel ausreichen, um die den Konkursandrohungen zugrun- deliegenden Forderungen sowie die weiteren fälligen Schulden zu begleichen, kann nicht beurteilt werden, da die Beschwerdeführerin keine Unterlagen zu ihrer Zahlungsfähigkeit einreicht, nament- lich keine Beweismittel, welche belegen, dass die zur Verfügung stehenden finanziellen Mittel zur Begleichung der Schulden ausreichen. Da sich die Betreibungen trotz behaupteter guter Auftrags- lage und beträchtlichem Umsatz innert der letzten Monate angehäuft haben, ist davon auszuge- hen, dass die finanziellen Mittel eben gerade nicht ausreichend sind. Diese scheinen für den Moment einzig die laufenden Forderungen zu decken. Es genügt nicht, wenn die Beschwerdefüh- rerin auf einen hohen Umsatz, eine gute Auftragslage und die Zusammenarbeit mit anderen Betrie- ben verweist, ohne auch nur einen einzigen Beleg zu ihrer Zahlungsfähigkeit einzureichen. Unter diesen Umständen kann nicht angenommen werden, dass die Zahlungsfähigkeit der Beschwerde- führerin glaubhaft gemacht worden ist. Die Beschwerde ist offensichtlich unbegründet. Mangels Glaubhaftmachung der Zahlungsfähigkeit ist die Beschwerde abzuweisen und der ange- fochtene Entscheid zu bestätigen. Die Beschwerdeführerin wird auf die Möglichkeit eines Widerrufs des Konkurses hingewiesen (Art. 195 SchKG). 3. Mit dem Entscheid in der Sache wird das Gesuch um aufschiebende Wirkung gegenstandslos und ist abzuschreiben.</w:t>
      </w:r>
    </w:p>
    <w:p>
      <w:r>
        <w:rPr>
          <w:b/>
        </w:rPr>
        <w:t>E. 4</w:t>
      </w:r>
    </w:p>
    <w:p>
      <w:r>
        <w:t>Der Saldo des Kostenvorschusses wird dem Kantonalen Konkursamt überwiesen. II. Der beim Kantonsgericht hinterlegte Betrag von CHF 1‘692.55 wird dem Kantonalen Konkursamt überwiesen. III. Das Gesuch um aufschiebende Wirkung ist gegenstandslos und wird abgeschrieben. IV. Die Prozesskosten des Beschwerdeverfahrens werden der A.________ GmbH auferlegt. Die Gerichtskosten des Beschwerdeverfahrens werden auf CHF 500.- festgesetzt. Es wird keine Parteientschädigung ausgerichtet.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 November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