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176 vom 15. Dezember 2020</w:t>
      </w:r>
    </w:p>
    <w:p>
      <w:r>
        <w:t>FR Kantonsgericht, 2020-12-15, FR</w:t>
      </w:r>
    </w:p>
    <w:p>
      <w:r>
        <w:rPr>
          <w:b/>
        </w:rPr>
        <w:t xml:space="preserve">Quelle: </w:t>
      </w:r>
      <w:r>
        <w:t>https://mcp.opencaselaw.ch/entscheid/fr_gerichte_102_2020_176</w:t>
      </w:r>
    </w:p>
    <w:p>
      <w:r>
        <w:t>FR: FR_GERICHTE 102 2020 176 du 15 décembre 2020</w:t>
      </w:r>
    </w:p>
    <w:p>
      <w:r>
        <w:t>IT: FR_GERICHTE 102 2020 176 del 15 dicembre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supérieure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recourant a produit, au stade du recours uniquement, un bordereau de pièces contenant le permis de construire délivré à l’intimée. Il a allégué à ce propos que l’entrée en force de cette autorisation de construire présupposait le caractère définitif et exécutoire de la décision de B.________ quant au montant de la dispense de construction d’abris de protection civile, dont le paiement était exigé en l’espèce. Il a en sus précisé que cette décision administrative avait dûment été notifiée à l’intimée et que celle-ci était désormais définitive et exécutoire depuis le 7 mai 2014, à l’instar de l’autorisation de construire. Ces nouveaux moyens, tardifs au regard de l’art. 326 al. 1</w:t>
      </w:r>
    </w:p>
    <w:p>
      <w:r>
        <w:t>Tribunal cantonal TC Page 3 de 5 CPC, sont donc irrecevables. Il n’en sera dès lors pas tenu compte et la Cour statuera sur la base des allégués et des pièces produites en première instance.</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la chiffrer (ATF 139 III 297 consid. 2.3.1 et les arrêts cités).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w:t>
      </w:r>
    </w:p>
    <w:p>
      <w:r>
        <w:rPr>
          <w:b/>
        </w:rPr>
        <w:t>E. 2.2</w:t>
      </w:r>
    </w:p>
    <w:p>
      <w:r>
        <w:t>Dans sa décision du 30 septembre 2020, la Présidente a retenu que la décision produite par A.________ à l’appui de sa requête ne constituait pas un titre de mainlevée au sens de l’art. 80 LP, ceci au motif qu’elle n’était pas attestée définitive et exécutoire. De même, elle a retenu que le poursuivant ne disposait pas non plus d’une reconnaissance de dette au sens de l’art. 82 LP, puisque l’intimée ignorait le montant de la contribution qui lui serait exigée lorsqu’elle s’est engagée à s’en acquitter. Quand bien même A.________ dispose d’un document où la poursuivie sollicite l’obtention d’une dispense de construire un abri obligatoire où elle s’engage à payer une contrepartie, à la lecture du document en question, la Cour retient que la décision de la Présidente ne prête pas le flanc à la critique. En effet, au même titre que la Présidente, elle note que, d’une part, le montant de CHF 33'600.- exigé par le recourant n’a été fixé que plus d’un mois après que l’intimée appose sa signature au document produit, de sorte qu’on ne saurait retenir que C.________ SA s’est engagée à payer cette somme sans condition, mais d’autre part, rien n’indique que la décision en question est désormais définitive et exécutoire. Le recourant n’est donc pas en mesure de requérir la mainlevée définitive ou provisoire de l’opposition. Le recours doit être rejeté.</w:t>
      </w:r>
    </w:p>
    <w:p>
      <w:r>
        <w:t>Tribunal cantonal TC Page 4 de 5</w:t>
      </w:r>
    </w:p>
    <w:p>
      <w:r>
        <w:rPr>
          <w:b/>
        </w:rPr>
        <w:t>E. 3.1</w:t>
      </w:r>
    </w:p>
    <w:p>
      <w:r>
        <w:t>Les frais de la procédure de recours doivent être mis à la charge de A.________, qui succombe (art. 106 al. 1 CPC). Ils comprennent les frais judiciaires, fixés forfaitairement à CHF 400.- (art. 48 et 61 al. 1 OELP).</w:t>
      </w:r>
    </w:p>
    <w:p>
      <w:r>
        <w:rPr>
          <w:b/>
        </w:rPr>
        <w:t>E. 3.2</w:t>
      </w:r>
    </w:p>
    <w:p>
      <w:r>
        <w:t>Il n’y a pas lieu d’allouer de dépens à l’intimée, dès lors qu’elle ne s’est pas déterminée. (dispositif en page suivante)</w:t>
      </w:r>
    </w:p>
    <w:p>
      <w:r>
        <w:t>Tribunal cantonal TC Page 5 de 5 la Cour arrête : I. Le recours est rejeté. Partant, la décision de la Présidente du Tribunal civil de l’arrondissement de la Sarine du 30 septembre 2020 est confirmée. II. Les frais de procédure de recours sont mis à la charge de A.________. Les frais judiciaires sont fixés à CHF 400.- et prélevés sur l’avance versée.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