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16 vom 2. Juni 2020</w:t>
      </w:r>
    </w:p>
    <w:p>
      <w:r>
        <w:t>FR Kantonsgericht, 2020-06-02, FR</w:t>
      </w:r>
    </w:p>
    <w:p>
      <w:r>
        <w:rPr>
          <w:b/>
        </w:rPr>
        <w:t xml:space="preserve">Quelle: </w:t>
      </w:r>
      <w:r>
        <w:t>https://mcp.opencaselaw.ch/entscheid/fr_gerichte_102_2020_16</w:t>
      </w:r>
    </w:p>
    <w:p>
      <w:r>
        <w:t>FR: FR_GERICHTE 102 2020 16 du 2 juin 2020</w:t>
      </w:r>
    </w:p>
    <w:p>
      <w:r>
        <w:t>IT: FR_GERICHTE 102 2020 16 del 2 giugno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(cf. art. 51 al. 1 let. a art. 74 al. 1 let. b LTF).</w:t>
      </w:r>
    </w:p>
    <w:p>
      <w:r>
        <w:rPr>
          <w:b/>
        </w:rPr>
        <w:t>E. 1.3</w:t>
      </w:r>
    </w:p>
    <w:p>
      <w:r>
        <w:t>Conformément à l’art. 326 al. 1 CPC, les allégations de faits et les preuves nouvelles sont irrecevables.</w:t>
      </w:r>
    </w:p>
    <w:p>
      <w:r>
        <w:rPr>
          <w:b/>
        </w:rPr>
        <w:t>E. 2.1</w:t>
      </w:r>
    </w:p>
    <w:p>
      <w:r>
        <w:t>Sans remettre en cause la reconnaissance de dette qu’il a signée en faveur du créancier, A.________ expose que pour justifier la mainlevée de l’opposition la créance doit être exigible au plus tard au moment de l’introduction de la poursuite, c’est-à-dire lors de la notification du commandement de payer. Or, en l’espèce, rien ne prouve que B.________ lui ait réclamé le remboursement du prêt octroyé en 2012, et ceci malgré le document dont le créancier se prévaut. En effet, le courrier daté du 9 août 2018 a, d’une part, été établi par la société D.________ SA et</w:t>
      </w:r>
    </w:p>
    <w:p>
      <w:r>
        <w:t>Tribunal cantonal TC Page 3 de 5 non par le créancier, et d’autre part, le contenu de la missive en question ne permet pas de retenir que le remboursement est requis.</w:t>
      </w:r>
    </w:p>
    <w:p>
      <w:r>
        <w:rPr>
          <w:b/>
        </w:rPr>
        <w:t>E. 2.2</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la chiffrer (ATF 139 III 297 consid. 2.3.1 et les arrêts cités).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arrêts cités). Pour justifier la mainlevée de l’opposition, la créance doit être exigible au moment de l’introduction de la poursuite. En effet, la dette à recouvrer doit être due au moment de l'ouverture de la procédure de recouvrement (cf. BSK SchKG – STAEHELIN, 2010, art. 82 n. 77).</w:t>
      </w:r>
    </w:p>
    <w:p>
      <w:r>
        <w:rPr>
          <w:b/>
        </w:rPr>
        <w:t>E. 2.3</w:t>
      </w:r>
    </w:p>
    <w:p>
      <w:r>
        <w:t>La reconnaissance de dette dont se prévaut le créancier pour requérir la mainlevée de l’opposition atteste d’un prêt du CHF 5’000.- mais ne prévoit aucun terme quant au remboursement. Selon l’art. 318 CO, si le contrat de prêt ne fixe aucun terme de restitution et n’oblige pas l’emprunteur à rendre la somme prêtée à première réquisition, l’emprunteur a, pour la restituer, six semaines dès la première réclamation du prêteur. Partant, compte tenu de la reconnaissance de dette versée au dossier, la somme de CHF 5'000.- est due à B.________ à compter de six semaines, dès la demande de remboursement. En l’espèce, aucun titre ne prouve que la somme de CHF 5'000.- ait été réclamée au recourant par oral à plusieurs reprises comme l’allègue le créancier. Quant au courrier daté du 9 août 2018, qui fait, selon B.________, office de dénonciation, celui-ci a été adressé au poursuivi par l’entreprise D.________ SA et le document prévoit que l’entreprise « confirme » un remboursement de CHF 5'500.- (cf. pièce 3 du bordereau de pièces du recourant). A la lecture de la missive susmentionnée, on ne saurait retenir que le courrier du 9 août 2018 vaut dénonciation du prêt. En effet, si A.________ a certainement compris que le courrier en question avait trait à la somme de CHF 5'000.- qu’il avait reçu en prêt de B.________, et ceci malgré le fait que la missive provienne d’une tierce entreprise et non du créancier, force est d’admettre que le paiement n’est nullement exigé. Partant, faute d’exigibilité de la créance, le juge de la mainlevée ne peut prononcer la mainlevée de l’opposition. Il s’ensuit l’admission du recours et la réformation de la décision attaquée en ce sens que la mainlevée provisoire de l'opposition, formée par</w:t>
      </w:r>
    </w:p>
    <w:p>
      <w:r>
        <w:t>Tribunal cantonal TC Page 4 de 5 A.________ au commandement de payer no ccc de l'Office des poursuites de la Veveyse notifié à l'instance de B.________, est refusée.</w:t>
      </w:r>
    </w:p>
    <w:p>
      <w:r>
        <w:rPr>
          <w:b/>
        </w:rPr>
        <w:t>E. 3</w:t>
      </w:r>
    </w:p>
    <w:p>
      <w:r>
        <w:t>Les dépens alloués à A.________ sont fixé globalement à CHF 215.40, TVA par CHF 15.40 comprise. II. Les frais de la procédure de recours sont mis à la charge de B.________. Les frais judiciaires dus à l'Etat sont fixés à CHF 200.-. Ils sont prélevés sur l'avance versée par A.________, qui a droit à son remboursement par B.________. Les dépens de A.________ pour la procédure de recours sont fixés globalement à la somme de CHF 215.40, TVA par CHF 15.40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 juin 2020/sag La Présidente : La Greffière :</w:t>
      </w:r>
    </w:p>
    <w:p>
      <w:r>
        <w:rPr>
          <w:b/>
        </w:rPr>
        <w:t>E. 3.1</w:t>
      </w:r>
    </w:p>
    <w:p>
      <w:r>
        <w:t>Les frais judiciaires de première instance ont été fixés à CHF 220.-, montant que les parties n’ont pas remis en cause. Ils sont mis à la charge de B.________ et prélevés sur l’avance de frais qu’il a versée (art. 111 al. 1 CPC). Quant aux frais judiciaires de la procédure de recours, ils sont fixés à CHF 200.- (art. 48 et 61 OELP) et seront prélevés sur l’avance de frais effectuée par A.________, qui aura droit à leur remboursement par B.________.</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A.________ pour la procédure de recours seront arrêtés globalement à la somme de CHF 215.40, TVA par CHF 15.40 comprise. Il en va de même pour la procédure de première instance, où le montant des dépens est fixé globalement à CHF 215.40, TVA par CHF 15.40 comprise, en faveur de A.________. Compte tenu de l’issue de la requête de mainlevée, il n’est pas alloué d’indemnité à B.________ pour les procédures de première et seconde instances. (dispositif en page suivante)</w:t>
      </w:r>
    </w:p>
    <w:p>
      <w:r>
        <w:t>Tribunal cantonal TC Page 5 de 5 la Cour arrête : I. Le recours est admis. Partant, la décision rendue par le Président du Tribunal civil de l’arrondissement de la Veveyse, le 14 janvier 2020, est rectifiée et prend désormais la teneur suivante: 1. La requête de mainlevée provisoire de l'opposition, formée par A.________ au commandement de payer n° ccc de l'Office des poursuites de la Veveyse, notifié à l'instance de B.________, est rejetée. 2. Les frais de justice dus à l’Etat, par CHF 220.-, sont mis à la charge de B.________ et seront prélevés sur l'avance de frais qu’il a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