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155 vom 1. Oktober 2020</w:t>
      </w:r>
    </w:p>
    <w:p>
      <w:r>
        <w:t>FR Kantonsgericht, 2020-10-01, FR</w:t>
      </w:r>
    </w:p>
    <w:p>
      <w:r>
        <w:rPr>
          <w:b/>
        </w:rPr>
        <w:t xml:space="preserve">Quelle: </w:t>
      </w:r>
      <w:r>
        <w:t>https://mcp.opencaselaw.ch/entscheid/fr_gerichte_102_2020_155</w:t>
      </w:r>
    </w:p>
    <w:p>
      <w:r>
        <w:t>FR: FR_GERICHTE 102 2020 155 du 1 octobre 2020</w:t>
      </w:r>
    </w:p>
    <w:p>
      <w:r>
        <w:t>IT: FR_GERICHTE 102 2020 155 del 1 ottobre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supérieure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à l’appui de son recours, un décompte qu’il a établi contenant les écritures relatives à B.________ ainsi qu’un formulaire « Informations relatives à la Loi cantonale sur l’aide sociale du 14 novembre 1991 », signé par l’intimé. Ces pièces produites par le recourant, au stade du recours seulement, constituent de nouveaux moyens, lesquels sont tardifs au regard de l’art. 326 al. 1 CPC, et ainsi irrecevables. Il n’en sera</w:t>
      </w:r>
    </w:p>
    <w:p>
      <w:r>
        <w:t>Tribunal cantonal TC Page 3 de 5 dès lors pas tenu compte et la Cour statuera sur la base des allégués et des pièces produites en première instance.</w:t>
      </w:r>
    </w:p>
    <w:p>
      <w:r>
        <w:rPr>
          <w:b/>
        </w:rPr>
        <w:t>E. 2.1</w:t>
      </w:r>
    </w:p>
    <w:p>
      <w:r>
        <w:t>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Aux termes de l’art. 82 al. 1 LP, le créancier dont la poursuite se fonde sur une reconnaissance de dette peut requérir la mainlevée provisoire. Le juge la prononce si le débiteur ne rend pas immédiatement vraisemblable sa libération (art. 82 al. 2).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Selon la jurisprudence cantonale et la doctrine, le montant de la créance peut figurer sur l'acte signé ou sur une pièce auquel celui-ci se rapporte (PANCHAUD/CAPREZ, La mainlevée d'opposition, 1980, § 15; BSK SchKG I-STAEHELIN, 2ème éd. 2010,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En l’espèce, A.________ fait valoir une dette de CHF 47'236.90 à l’encontre de l’opposant. A l’appui de sa requête, il n’a toutefois produit qu’un relevé de compte qu’il a lui-même établi. Or, comme l’a constaté le Président, cette pièce ne contient pas la signature de B.________ par laquelle il reconnaîtrait devoir le montant réclamé par le requérant. Partant, la pièce produite ne vaut pas reconnaissance de dette au sens de l’art. 82 LP, de sorte que c’est à juste titre que la mainlevée a été rejetée.</w:t>
      </w:r>
    </w:p>
    <w:p>
      <w:r>
        <w:t>Tribunal cantonal TC Page 4 de 5 Il s’ensuit le rejet du recours, manifestement mal fondé.</w:t>
      </w:r>
    </w:p>
    <w:p>
      <w:r>
        <w:rPr>
          <w:b/>
        </w:rPr>
        <w:t>E. 2.3</w:t>
      </w:r>
    </w:p>
    <w:p>
      <w:r>
        <w:t>De toute manière, même à supposer que les pièces produites en procédure de recours par A.________ aient été recevables, le recours aurait malgré tout dû être rejeté. Les documents produits, soit un décompte établi le 3 septembre 2020 par A.________ contenant les écritures relatives à B.________ ainsi qu’un formulaire « Informations relatives à la Loi cantonale sur l’aide sociale du 14 novembre 1991 » signé par l’intimé, ne constituent pas des reconnaissances de dettes au sens de l’art. 82 LP. En outre, même rapprochées entre eux, ces documents ne permettent pas d’établir la volonté de B.________ de payer au créancier une somme d’argent déterminée ou aisément déterminable et exigible et n’ont donc pas valeur de reconnaissance de dette et, partant, ne constituent pas un titre de mainlevée provisoire au sens de l’art. 82 LP. En effet, le décompte produit n’est pas signé par l’intimé. Quant au formulaire, il est certes signé par l’intimé. Cependant, il y est mentionné que le remboursement de l’aide octroyée est soumis à la condition légale (art. 29 al. 1 de la Loi sur l’aide sociale [RSF 831.0.1 ; LASoc]) que la situation financière du bénéficiaire le permette. Cependant, il n’appartient pas au juge de la mainlevée de déterminer si cette condition est remplie. C’est la Commission sociale qui décide du remboursement de l’aide sociale accordée (art. 20 al. 1 LASoc). C’est donc par le biais d’une décision administrative, qui sera sujette à réclamation, que le remboursement doit être ordonné. Une fois cette décision entrée en force, A.________ pourra requérir la mainlevée définitive au sens de l’art. 80 al. 2 ch. 2 LP.</w:t>
      </w:r>
    </w:p>
    <w:p>
      <w:r>
        <w:rPr>
          <w:b/>
        </w:rPr>
        <w:t>E. 3.1</w:t>
      </w:r>
    </w:p>
    <w:p>
      <w:r>
        <w:t>Les frais de la procédure de recours doivent être mis à la charge du recourant, qui succombe (art. 106 al. 1 CPC). Ils comprennent les frais judiciaires, fixés forfaitairement à CHF 500.- (art. 48 et 61 al. 1 OELP).</w:t>
      </w:r>
    </w:p>
    <w:p>
      <w:r>
        <w:rPr>
          <w:b/>
        </w:rPr>
        <w:t>E. 3.2</w:t>
      </w:r>
    </w:p>
    <w:p>
      <w:r>
        <w:t>Il n’y a pas lieu d’allouer de dépens à l’intimé qui n’a pas été invité à se déterminer. (dispositif en page suivante)</w:t>
      </w:r>
    </w:p>
    <w:p>
      <w:r>
        <w:t>Tribunal cantonal TC Page 5 de 5 la Cour arrête : I. Le recours est rejeté. Partant, la décision du Président du Tribunal civil de l’arrondissement de la Sarine du 1er juillet 2020 est confirmée. II. Les frais sont mis à la charge de A.________. Les frais judiciaires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