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153 vom 14. September 2020</w:t>
      </w:r>
    </w:p>
    <w:p>
      <w:r>
        <w:t>FR Kantonsgericht, 2020-09-14, FR</w:t>
      </w:r>
    </w:p>
    <w:p>
      <w:r>
        <w:rPr>
          <w:b/>
        </w:rPr>
        <w:t xml:space="preserve">Quelle: </w:t>
      </w:r>
      <w:r>
        <w:t>https://mcp.opencaselaw.ch/entscheid/fr_gerichte_102_2020_153</w:t>
      </w:r>
    </w:p>
    <w:p>
      <w:r>
        <w:t>FR: FR_GERICHTE 102 2020 153 du 14 septembre 2020</w:t>
      </w:r>
    </w:p>
    <w:p>
      <w:r>
        <w:t>IT: FR_GERICHTE 102 2020 153 del 14 settembre 2020</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Dépourvu de motivation et de conclusions, la recevabilité du recours est d’emblée douteuse. Cela étant, cette problématique peut souffrir de demeurer ouverte dans la mesure où le recours est de toute façon manifestement infondé.</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1.4</w:t>
      </w:r>
    </w:p>
    <w:p>
      <w:r>
        <w:t>Compte tenu du sort réservé au recours, la requête d’effet suspensif devient sans objet.</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2e éd. 2010, art. 174 n. 26); elle consiste en la capacité du débiteur de disposer de liquidités suffisantes</w:t>
      </w:r>
    </w:p>
    <w:p>
      <w:r>
        <w:t>Tribunal cantonal TC Page 3 de 4 pour payer ses dettes échues et peut aussi être présente si cette capacité fait temporairement défaut, pour autant que des indices d'amélioration de la situation à court terme existent (arrêt TF 5A_912/2013 du 18 février 2014 consid. 3).</w:t>
      </w:r>
    </w:p>
    <w:p>
      <w:r>
        <w:rPr>
          <w:b/>
        </w:rPr>
        <w:t>E. 2.2.1</w:t>
      </w:r>
    </w:p>
    <w:p>
      <w:r>
        <w:t>En l'espèce, le recourant n’a versé aucun montant à l’intention de la créancière poursuivante, si bien que la première condition posée par l'art. 174 al. 2 ch. 2 LP n’est d’emblée pas remplie, de sorte que son recours doit être rejeté pour ce premier motif déjà.</w:t>
      </w:r>
    </w:p>
    <w:p>
      <w:r>
        <w:rPr>
          <w:b/>
        </w:rPr>
        <w:t>E. 2.2.2</w:t>
      </w:r>
    </w:p>
    <w:p>
      <w:r>
        <w:t>Par surabondance de motifs, son recours doit être rejeté pour un second motif également, dès lors qu’il n’a produit aucun document de nature à rendre vraisemblable sa solvabilité. En effet, afin de rendre vraisemblable sa solvabilité, l’intéressé se borne à alléguer, d’une part, qu’il devrait recevoir un montant de quelque CHF 41'522.- « ces prochains jours » de la part de C.________ qui lui permettra de s’acquitter de l’ensemble des poursuites dirigées contre lui et, d’autre part, qu’il est propriétaire d’un immeuble estimé à près d’un million de francs. Or, il ressort de l’extrait actualisé des poursuites établi le 8 septembre 2020 par l’Office des poursuites de la Sarine à la demande de la Cour que le débiteur poursuvi fait actuellement l’objet de six autres poursuites, en sus de celle qui a conduit au prononcé de la faillite, dont quatre au stade de la saisie, pour un montant total de plus de CHF 8'000.-. Dans ces circonstances, la Cour constate que la situation financière du failli semble précaire et retient qu’il ne dispose pas de liquidités suffisantes pour régler, à brève échéance, les sept poursuites ouvertes actuellement dirigées contre lui. Le recours, manifestement infondé, est ainsi rejeté sans échange d'écritures (art. 322 al. 1 CPC).</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 conformément au prescrit de l’art. 322 al. 1 CPC. (dispositif en page suivante)</w:t>
      </w:r>
    </w:p>
    <w:p>
      <w:r>
        <w:t>Tribunal cantonal TC Page 4 de 4 la Cour arrête : I. La requête d’effet suspensif est sans objet. II. Manifestement infondé, le recours est rejeté. Partant, la décision de faillite rendue le 17 août 2020 (cause no 10 2020 1452) par la Présidente du Tribunal civil de l'arrondissement de la Sarine est confirmée. III. Les frais judiciaires de la procédure de recours, fixés à CHF 500.-, sont mis à la charge de A.________. IV. Il n'est pas alloué de dépens à la société B.________ SA.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septembre 2020/lda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