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136 vom 14. September 2020</w:t>
      </w:r>
    </w:p>
    <w:p>
      <w:r>
        <w:t>FR Kantonsgericht, 2020-09-14, FR</w:t>
      </w:r>
    </w:p>
    <w:p>
      <w:r>
        <w:rPr>
          <w:b/>
        </w:rPr>
        <w:t xml:space="preserve">Quelle: </w:t>
      </w:r>
      <w:r>
        <w:t>https://mcp.opencaselaw.ch/entscheid/fr_gerichte_102_2020_136</w:t>
      </w:r>
    </w:p>
    <w:p>
      <w:r>
        <w:t>FR: FR_GERICHTE 102 2020 136 du 14 septembre 2020</w:t>
      </w:r>
    </w:p>
    <w:p>
      <w:r>
        <w:t>IT: FR_GERICHTE 102 2020 136 del 14 settembre 2020</w:t>
      </w:r>
    </w:p>
    <w:p>
      <w:pPr>
        <w:pStyle w:val="Heading2"/>
      </w:pPr>
      <w:r>
        <w:t>Regeste</w:t>
      </w:r>
    </w:p>
    <w:p>
      <w:r>
        <w:t>Arrêt de la IIe Cour d'appel civil du Tribunal cantonal | Rechtsöffnung</w:t>
      </w:r>
    </w:p>
    <w:p>
      <w:pPr>
        <w:pStyle w:val="Heading2"/>
      </w:pPr>
      <w:r>
        <w:t>Erwägungen</w:t>
      </w:r>
    </w:p>
    <w:p>
      <w:r>
        <w:rPr>
          <w:b/>
        </w:rPr>
        <w:t>E. 7</w:t>
      </w:r>
    </w:p>
    <w:p>
      <w:r>
        <w:t>juillet 2020. Il conclut à l’admission de son recours et à la réformation de la décision attaquée en ce sens que la mainlevée de son opposition soit refusée. Il réclame, par ailleurs, le versement d’une équitable indemnité de partie. C. Le 17 août 2020, les intimés ont conclu au rejet du recours avec suite de frais.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de CHF 4'352.40 (cf. art. 51 al. 1 let. a art. 74 al. 1 let. b LTF). 1.3. Conformément à l'art. 326 al. 1 CPC, les allégations de faits et les preuves nouvelles sont irrecevables. 2. Le recourant reproche pour l’essentiel au premier juge de ne pas avoir tenu compte du fait que la créance a été payée par le biais de 12 acomptes de CHF 3'000.- jusqu’au 3 décembre 2018, représentant un montant total de CHF 36'000.-, en règlement des impôts 2018. Il allègue que le décompte du 19 mai 2020 produit par les poursuivants ne fait pas état de ces acomptes et est donc faux. Dans leur réponse du 7 août 2020, les intimés reconnaissent que le recourant a effectué des versements mensuels de CHF 3'000.- de janvier à décembre 2018 sur le compte général du Service cantonal des contributions mais qu’un solde à payer demeure conformément au décompte de l’impôt fédéral direct 2018 du 18 avril 2019. 2.1.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Tribunal cantonal TC Page 3 de 4 Contrairement à ce qui vaut pour la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arrêt TF 5A_824/2015 du 18 mars 2016 consid. 2.1 et 2.2). 2.2. En l’espèce, le décompte de l’impôt fédéral direct du 18 avril 2019 porte sur le montant de CHF 4'352.40, plus un intérêt moratoire de CHF 5.45 à payer jusqu’au 30 mai 2019 sur le compte de l’Administration cantonale de l’impôt fédéral direct no ccc. Il est attesté définitif et exécutoire. Certes, A.________ a versé CHF 36'000.- en 2018 sur le compte postal no ddd du Service cantonal des contributions. Ces acomptes ont servi au paiement de l’impôt cantonal mais pas au paiement de l’impôt fédéral direct ni à celui de l’impôt communal comme il le soutient à tort. A cet égard, la mention « IFD » ou encore « ICOM » n’est d’aucune utilité. En effet, il n’appartient pas au Service cantonal des contributions de ventiler les paiements reçus dans les comptes de l’Administration cantonale de l’impôt fédéral direct et de l’Administration communale. Le contribuable doit procéder aux versements sur les comptes des autorités fiscales en se conformant aux indications données. La Cour constate que A.________ n’a pas versé le montant mis en poursuite sur le compte de l’Administration cantonale de l’impôt fédéral direct, ce qu’il ne conteste d’ailleurs pas. Par conséquent, dès lors que les créanciers poursuivants ont produit un titre exécutoire et que A.________ n’a pas établi par titre avoir payé sa dette ou bénéficié d’un sursis, ni invoqué la prescription (art. 81 al. 1 LP), la mainlevée définitive devait être prononcée. Il s’ensuit le rejet du recours. 3. Les frais de la procédure de recours doivent être mis à la charge de A.________, qui succombe (art. 106 al. 1 CPC). Ils comprennent les frais judiciaires, fixés forfaitairement à CHF 250.- (art. 48 et 61 al. 1 OELP). Il n’est pas alloué de dépens. (dispositif en page suivante)</w:t>
      </w:r>
    </w:p>
    <w:p>
      <w:r>
        <w:t>Tribunal cantonal TC Page 4 de 4 la Cour arrête : I. Le recours est rejeté. II. Les frais de la procédure de recours sont mis à la charge de A.________.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septembre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