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133 vom 27. August 2020</w:t>
      </w:r>
    </w:p>
    <w:p>
      <w:r>
        <w:t>FR Kantonsgericht, 2020-08-27, FR</w:t>
      </w:r>
    </w:p>
    <w:p>
      <w:r>
        <w:rPr>
          <w:b/>
        </w:rPr>
        <w:t xml:space="preserve">Quelle: </w:t>
      </w:r>
      <w:r>
        <w:t>https://mcp.opencaselaw.ch/entscheid/fr_gerichte_102_2020_133</w:t>
      </w:r>
    </w:p>
    <w:p>
      <w:r>
        <w:t>FR: FR_GERICHTE 102 2020 133 du 27 août 2020</w:t>
      </w:r>
    </w:p>
    <w:p>
      <w:r>
        <w:t>IT: FR_GERICHTE 102 2020 133 del 27 agosto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 loi assimile notamment à des jugements les décisions des autorités administratives suisses qui ordonnent le paiement d’une somme d’argent (art. 80 al. 2 ch. 2 LP).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1980, §§ 122 à 129). Une facture établie par une autorité compétente, astreignant le destinataire au paiement d'une</w:t>
      </w:r>
    </w:p>
    <w:p>
      <w:r>
        <w:t>Tribunal cantonal TC Page 3 de 4 contribution de droit public et faisant état des voies de droit, même au verso du document, constitue une décision, même si celle-ci n'est pas intitulée "décision" (ATF 143 III 162 consid. 2.2.1; ABBET/VEUILLET, La mainlevée de l'opposition, 2017, art. 80 LP n. 132). Le juge de la mainlevée doit examiner d'office le caractère exécutoire du titre de mainlevée produit par le créancier (STAEHELIN, in Basler Kommentar SchKG I, 2e éd. 2010, art. 80 n. 9; ATF 38 I 26). Le caractère exécutoire doit résulter du titre produit par le créancier ou d'un document qui s'y réfère (SCHMIDT, in Commentaire romand Poursuite et faillite, 2005, art. 80 n. 3). Certains auteurs admettent que la preuve du caractère exécutoire peut être apportée par d'autres moyens, notamment le fait que le poursuivi n'a pas contesté le caractère exécutoire de la décision, ou, pour une décision qui date d'un certain nombre d'années, qu'il n'y a pas d'indice qu'une voie de droit ait été saisie (STAEHELIN, art. 80 n. 55). Toutefois, la jurisprudence fribourgeoise, plus stricte (Extraits 1953 97), a été récemment confirmée par la Cour (RFJ 2016 p. 142). Une preuve par d'autres moyens n'est ainsi pas admissible et le juge n'est pas en droit de suppléer à l'absence de production du jugement exécutoire par exemple par les constatations qu'il a pu faire dans les actes du procès déroulé devant lui en première instance.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w:t>
      </w:r>
    </w:p>
    <w:p>
      <w:r>
        <w:rPr>
          <w:b/>
        </w:rPr>
        <w:t>E. 2.2</w:t>
      </w:r>
    </w:p>
    <w:p>
      <w:r>
        <w:t>La Présidente a rejeté la requête de mainlevée au motif que les factures des 28 février 2018 et 2019 produites par la requérante ne sont pas munies de voies de droit et qu’elles ne sont pas non plus attestées définitives et exécutoires, de sorte qu’elles ne sont pas constitutives de décisions administratives valant titre de mainlevée au sens de l’art. 80 LP.</w:t>
      </w:r>
    </w:p>
    <w:p>
      <w:r>
        <w:rPr>
          <w:b/>
        </w:rPr>
        <w:t>E. 2.3</w:t>
      </w:r>
    </w:p>
    <w:p>
      <w:r>
        <w:t>La recourante conteste le rejet de sa requête de mainlevée soutenant que les factures des 28 février 2018 et 2019 qu’elle a produites à l’appui de sa requête de mainlevée étaient bien munies de voies de droit.</w:t>
      </w:r>
    </w:p>
    <w:p>
      <w:r>
        <w:rPr>
          <w:b/>
        </w:rPr>
        <w:t>E. 2.4</w:t>
      </w:r>
    </w:p>
    <w:p>
      <w:r>
        <w:t>Force est toutefois de constater, avec la Présidente, que les factures produites par la requérante comme titre de mainlevée définitives ne comportaient aucune voie de droit. En effet, ni le délai de recours, ni la forme du recours, ni l’autorité de recours n’y sont indiqués. De plus, le caractère définitif et exécutoire des factures produites par la requérante n’a pas été attesté que ce soit sur celles-ci ou dans la requête de mainlevée. Cela est d’autant plus problématique qu’en l’espèce, B.________ a formé une réclamation écrite en date du 4 avril 2019 contre les factures litigieuses et que, partant, une décision sur réclamation aurait dû être rendue. C’est donc à juste titre que la Présidente a rejeté la requête faute de décision rendue par une autorité administrative valant titre de mainlevée définitive au sens de l’art. 80 al. 2 ch. 2 LP. Il s’ensuit le rejet du recours, manifestement mal fondé.</w:t>
      </w:r>
    </w:p>
    <w:p>
      <w:r>
        <w:rPr>
          <w:b/>
        </w:rPr>
        <w:t>E. 3.1</w:t>
      </w:r>
    </w:p>
    <w:p>
      <w:r>
        <w:t>Les frais de la procédure de recours doivent être mis à la charge de A.________, qui succombe (art. 106 al. 1 CPC). Ils comprennent les frais judiciaires, fixés forfaitairement à CHF 300.- (art. 48 et 61 al. 1 OELP).</w:t>
      </w:r>
    </w:p>
    <w:p>
      <w:r>
        <w:t>Tribunal cantonal TC Page 4 de 4</w:t>
      </w:r>
    </w:p>
    <w:p>
      <w:r>
        <w:rPr>
          <w:b/>
        </w:rPr>
        <w:t>E. 3.2</w:t>
      </w:r>
    </w:p>
    <w:p>
      <w:r>
        <w:t>Il n’est pas alloué de dépens à B.________ qui n’a pas été invité à se déterminer (art. 322 al. 1 CPC). la Cour arrête : I. Le recours est rejeté. Partant, la décision de la Présidente du Tribunal civil de l’arrondissement de la Broye du 30 juin 2020 est confirmée. II. Les frais de la procédure de recours sont mis à la charge de A.________. Les frais judiciaires sont fixés à CHF 300.-.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août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