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130 vom 17. August 2020</w:t>
      </w:r>
    </w:p>
    <w:p>
      <w:r>
        <w:t>FR Kantonsgericht, 2020-08-17, FR</w:t>
      </w:r>
    </w:p>
    <w:p>
      <w:r>
        <w:rPr>
          <w:b/>
        </w:rPr>
        <w:t xml:space="preserve">Quelle: </w:t>
      </w:r>
      <w:r>
        <w:t>https://mcp.opencaselaw.ch/entscheid/fr_gerichte_102_2020_130</w:t>
      </w:r>
    </w:p>
    <w:p>
      <w:r>
        <w:t>FR: FR_GERICHTE 102 2020 130 du 17 août 2020</w:t>
      </w:r>
    </w:p>
    <w:p>
      <w:r>
        <w:t>IT: FR_GERICHTE 102 2020 130 del 17 agosto 2020</w:t>
      </w:r>
    </w:p>
    <w:p>
      <w:pPr>
        <w:pStyle w:val="Heading2"/>
      </w:pPr>
      <w:r>
        <w:t>Regeste</w:t>
      </w:r>
    </w:p>
    <w:p>
      <w:r>
        <w:t>Arrêt de la IIe Cour d'appel civil du Tribunal cantonal | Rechtsöffnung</w:t>
      </w:r>
    </w:p>
    <w:p>
      <w:pPr>
        <w:pStyle w:val="Heading2"/>
      </w:pPr>
      <w:r>
        <w:t>Erwägungen</w:t>
      </w:r>
    </w:p>
    <w:p>
      <w:r>
        <w:rPr>
          <w:b/>
        </w:rPr>
        <w:t>E. 17</w:t>
      </w:r>
    </w:p>
    <w:p>
      <w:r>
        <w:t>avril 2020, A.________ SA, représentée par B.________ SA, a requis la mainlevée de l’opposition précitée. B. Par décision du 26 juin 2020, la Présidente du Tribunal civil de l’arrondissement de la Sarine (ci-après: la Présidente) a rejeté la requête de mainlevée provisoire de l’opposition au motif que les pièces produites par la requérante ne rendent pas vraisemblable l’identité du propriétaire de l’immeuble. C. Le 8 juillet 2020, A.________ SA a interjeté un recours à l’encontre de cette décision. Elle conclut, à tout le moins implicitement, à l’admission de son recours, respectivement à la réformation de la décision attaquée, en ce sens que sa requête de mainlevée de l’opposition soit admise. Dans sa réponse du 24 juillet 2020, C.________ a conclu principalement à l’irrecevabilité du recours et, subsidiairement, à son rejet, avec suite de frais et dépens. en droit 1. 1.1. Seule la voie du recours au Tribunal cantonal est ouverte (art. 319 let. a CPC), l’appel n’étant pas recevable contre une décision de mainlevée (art. 309 let.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 1.2. Même si la recourante n’a pas formellement formulé de conclusions, on comprend, à la lecture du recours, qu’elle demande que la mainlevée de l’opposition soit accordée. 1.3. 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w:t>
      </w:r>
    </w:p>
    <w:p>
      <w:r>
        <w:t>Tribunal cantonal TC Page 3 de 4 Au vu de ce qui précède, l’extrait du Registre foncier du Lac, de même que le contrat de vente du 25 octobre 2016, produits par la première fois par la recourante, sont irrecevables et ne seront donc pas pris en compte. 1.3. La valeur litigieuse est de CHF 3'976.45. 2. 2.1. La recourante estime que c’est à tort que la Présidente a refusé la mainlevée de l’opposition au motif les pièces produites ne rendent pas vraisemblable l’identité du propriétaire de l’immeuble. Elle fait valoir que le nom du propriétaire est clairement indiqué sur la première page de l’état des lieux de sortie établi au même moment que la convention de sortie. 2.2.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(ATF 139 III 297 consid. 2.3.1 et les arrêts cités). La procédure de mainlevée provisoire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et les arrêts cités). L’identité du créancier doit être mentionnée de manière exacte au moment de l’établissement de la reconnaissance de dette. Un contrat conclu par un représentant dans lequel le représenté n’est pas nommément désigné ne permet pas l’octroi de la mainlevée contre ce dernier (ABBET/VEUILLET, La mainlevée de l’opposition, 2017, n. 74 p. 129). 2.3. Comme l’a constaté la Présidente dans sa décision du 26 juin 2020, la convention de sortie du 28 mars 2019, signée par l’intimé, ne mentionne pas le nom du propriétaire de l’appartement objet de la reconnaissance de dette, de sorte que l’identité du créancier ne ressort pas de ce document. Il est vrai, comme le relève la recourante, que la convention de sortie a été établie conformément à l’état des lieux d’entrée/sortie effectué le même jour, soit le 28 mars 2019, et également signée par l’intimé (cf. P. 10 de la requête de mainlevée). Ce dernier document mentionne expressément le nom de la propriétaire, soit la société A.________ SA, en première page. Toutefois, la convention de sortie du 28 mars 2019, en sa qualité de titre de mainlevée provisoire, ne mentionne pas l’état des lieux du 28 mars 2019 et donc, ne s’y réfère pas expressément ni n’y renvoie, comme le veut la jurisprudence citée ci-dessus. Par conséquent, l’identité du créancier ne ressort pas de la convention de sortie et ce document ne permet pas l’octroi de la mainlevée.</w:t>
      </w:r>
    </w:p>
    <w:p>
      <w:r>
        <w:t>Tribunal cantonal TC Page 4 de 4 Il s’ensuit le rejet du recours. 3. 3.1. Les frais de la procédure de recours sont mis à la charge de la recourante, qui succombe (art. 106 al. 1 CPC). Ils sont fixés forfaitairement à CHF 250.- (art. 48 et 61 al. 1 OELP) et seront prélevés sur l’avance effectuée. 3.2. Les frais comprennent également les dépens de l’intimé qui est assisté d’un avocat. Selon l'art. 105 al. 2 CPC, le tribunal fixe les dépens selon le tarif, soit le RJ.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les jugements du juge unique est de CHF 3'000.-, montant pouvant être doublé si des circonstances particulières le justifient (art. 64 al. 1 let. e et al. 2 RJ); En l'espèce, compte tenu de la nature et de la difficulté de la cause, il se justifie de fixer les dépens à CHF 600.-, TVA par CHF 46.20 en sus. la Cour arrête : I. Le recours est rejeté. Partant, la décision rendue le 26 juin 2020 par la Présidente du Tribunal civil de la Sarine est confirmée. II. Les frais de la procédure de recours sont mis à la charge de A.________ SA. Les frais judiciaires dus à l’Etat, fixés forfaitairement à CHF 250.-, sont prélevés sur l’avance de frais du même montant effectuée le 15 juillet 2020. Les dépens dus à C.________ par A.________ SA sont fixés à CHF 600.-, TVA par CHF 46.20 en sus.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17 août 2020/cov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