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100 vom 23. Juli 2020</w:t>
      </w:r>
    </w:p>
    <w:p>
      <w:r>
        <w:t>FR Kantonsgericht, 2020-07-23, FR</w:t>
      </w:r>
    </w:p>
    <w:p>
      <w:r>
        <w:rPr>
          <w:b/>
        </w:rPr>
        <w:t xml:space="preserve">Quelle: </w:t>
      </w:r>
      <w:r>
        <w:t>https://mcp.opencaselaw.ch/entscheid/fr_gerichte_102_2020_100</w:t>
      </w:r>
    </w:p>
    <w:p>
      <w:r>
        <w:t>FR: FR_GERICHTE 102 2020 100 du 23 juillet 2020</w:t>
      </w:r>
    </w:p>
    <w:p>
      <w:r>
        <w:t>IT: FR_GERICHTE 102 2020 100 del 23 luglio 2020</w:t>
      </w:r>
    </w:p>
    <w:p>
      <w:pPr>
        <w:pStyle w:val="Heading2"/>
      </w:pPr>
      <w:r>
        <w:t>Regeste</w:t>
      </w:r>
    </w:p>
    <w:p>
      <w:r>
        <w:t>Arrêt de la IIe Cour d'appel civil du Tribunal cantonal | Rechtsöffnung</w:t>
      </w:r>
    </w:p>
    <w:p>
      <w:pPr>
        <w:pStyle w:val="Heading2"/>
      </w:pPr>
      <w:r>
        <w:t>Erwägungen</w:t>
      </w:r>
    </w:p>
    <w:p>
      <w:r>
        <w:rPr>
          <w:b/>
        </w:rPr>
        <w:t>E. 20</w:t>
      </w:r>
    </w:p>
    <w:p>
      <w:r>
        <w:t>novembre 2015 pour un montant de CHF 840.-. 3.2. 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Une reconnaissance de dette peut aussi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(ATF 139 III 297 consid. 2.3.1 et les arrêts cités). La procédure de mainlevée provisoire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Il doit notamment vérifier d’office</w:t>
      </w:r>
    </w:p>
    <w:p>
      <w:r>
        <w:t>Tribunal cantonal TC Page 4 de 5 l’existence d’une reconnaissance de dette, l’identité entre le poursuivant et le créancier désigné dans ce titre, l’identité entre le poursuivi et le débiteur désigné et l’identité entre la prétention déduite en poursuite et la dette reconnue (ATF 142 III 720 consid. 4.1 et les arrêts cités). L’identité du créancier doit être mentionnée de manière exacte au moment de l’établissement de la reconnaissance de dette. Un contrat conclu par un représentant dans lequel le représenté n’est pas nommément désigné ne permet pas l’octroi de la mainlevée contre ce dernier (ABBET/VEUILLET, La mainlevée de l’opposition, 2017, n. 74 p. 129). 3.3. En l’espèce, A.________ SA a produit un bulletin de transport qu’elle a émis en date du 19 novembre 2015 mentionnant 4 heures de déménagement au tarif horaire de CHF 210.-. Ce document est signé par la société E.________ SA, devenue depuis lors C.________ SA (cf. extrait du Registre du commerce, bordereau de la requête, p. 4). Ce document constitue une reconnaissance de dette valant titre de mainlevée provisoire (art. 82 al. 1 LP). Les autres pièces produites par la requérante, soit le courriel du 17 novembre 2015 dans lequel l’intimée accepte la proposition de tarif horaire de CHF 280.- pour un déménagement le 19 novembre 2015 et la facture que la requérante a adressée à l’intimée le 20 novembre 2015 pour un montant de CHF 840.- (cf. bordereau de la requête, p. 5 et 7), vont également dans ce sens. De son côté, C.________ SA n’a pas rendu immédiatement vraisemblable sa libération (art. 82 al. 2 LP). Partant, la mainlevée provisoire doit être prononcée pour la créance de CHF 840.-, plus intérêts à 6 % l’an dès le 25 novembre 2015 (cf. bulletin de transport, pièce 6 du bordereau de la requête), plus frais de poursuite. En revanche, il n’y a pas lieu d’allouer à la requérante une indemnité à titre de dommage supplémentaire au sens de l’art. 106 CO dans la mesure où elle n’a produit aucun titre démontrant l’existence d’un tel dommage. 4. Le recours ayant un effet réformatoire, la Cour doit également se prononcer sur les frais de la procédure de première instance (art. 318 al. 3 CPC par analogie). Au vu de l'admission du recours, les frais pour les deux instances doivent être mis à la charge de C.________ SA (art. 106 al. 1 CPC). 4.1. Les frais judiciaires de première instance ont été fixés à CHF 100.-, montant que les parties n’ont pas remis en cause. Ils sont mis à la charge de C.________ SA et prélevés sur l’avance de frais versée par A.________ SA qui a droit à leur remboursement par C.________ SA (art. 111 al. 1 et 2 CPC). Quant aux frais judiciaires de la procédure de recours, ils sont fixés à CHF 150.- et seront également prélevés sur l’avance de frais effectuée par A.________ SA, qui aura droit à leur remboursement par C.________ SA (art. 111 al. 1 et 2 CPC). 4.2. A.________ SA, représentée par un mandataire professionnel, a conclu à l’octroi d’une indemnité équitable pour la procédure de première instance et pour la procédure de recours. Compte tenu de l’issue du recours et de la réformation de la décision attaquée, il se justifie de lui allouer une indemnité équitable de CHF 150.- à la charge de C.________ SA pour la première instance ainsi qu’une indemnité de CHF 150.- pour la procédure de recours (art. 95 al. 3 let. c CPC).</w:t>
      </w:r>
    </w:p>
    <w:p>
      <w:r>
        <w:t>Tribunal cantonal TC Page 5 de 5 la Cour arrête : I. Le recours est admis. Partant, la décision de la Présidente du Tribunal civil de l’arrondissement de la Sarine du 5 mai 2020 est réformée et prend la teneur suivante : I. La requête de mainlevée provisoire de l'opposition, formée par C.________ SA au commandement de payer n° ddd de l'Office des poursuites de la Sarine, notifié à l'instance de A.________ SA, est recevable. II. La mainlevée provisoire de l'opposition, formée par C.________ SA au commandement de payer n° ddd de l'Office des poursuites de la Sarine, notifié à l'instance de A.________ SA, est prononcée pour le montant de CHF 840.- avec intérêt à 6 % l’an dès le 25 novembre 2015 ainsi que pour les frais de poursuite. III. Les frais judicaires, par CHF 100.-, sont mis à la charge de C.________ SA. Ils seront prélevés sur l’avance de frais prestée par A.________ SA, qui a droit à leur remboursement par C.________ SA. IV. Une indemnité équitable de CHF 150.- est allouée à A.________ SA, à la charge de C.________ SA. II. Les frais de la procédure de recours sont mis à la charge de C.________ SA. Les frais judiciaires dus à l'Etat sont fixés à CHF 150.-. Ils sont prélevés sur l'avance versée par A.________ SA, qui a droit à leur remboursement par C.________ SA. Une indemnité équitable de CHF 150.- est allouée à A.________ SA, à la charge de C.________ SA.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23 juillet 2020/say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