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89 vom 28. Juni 2019</w:t>
      </w:r>
    </w:p>
    <w:p>
      <w:r>
        <w:t>FR Kantonsgericht, 2019-06-28, FR</w:t>
      </w:r>
    </w:p>
    <w:p>
      <w:r>
        <w:rPr>
          <w:b/>
        </w:rPr>
        <w:t xml:space="preserve">Quelle: </w:t>
      </w:r>
      <w:r>
        <w:t>https://mcp.opencaselaw.ch/entscheid/fr_gerichte_102_2019_89</w:t>
      </w:r>
    </w:p>
    <w:p>
      <w:r>
        <w:t>FR: FR_GERICHTE 102 2019 89 du 28 juin 2019</w:t>
      </w:r>
    </w:p>
    <w:p>
      <w:r>
        <w:t>IT: FR_GERICHTE 102 2019 89 del 28 giugno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 2 CPC). La cognition de la Cour d’appel est pleine et entière en droit ; s’agissant des faits, elle est limitée à leur constatation manifestement inexacte (art. 320 CPC).</w:t>
      </w:r>
    </w:p>
    <w:p>
      <w:r>
        <w:rPr>
          <w:b/>
        </w:rPr>
        <w:t>E. 1.2</w:t>
      </w:r>
    </w:p>
    <w:p>
      <w:r>
        <w:t>La valeur litigieuse est inférieure à CHF 30'000.-, si bien que seul un recours constitutionnel subsidiaire peut être introduit au Tribunal fédéral contre le présent arrêt (art. 51 al. 1 let. a, 74 al. 1 let. b, 113 ss LTF).</w:t>
      </w:r>
    </w:p>
    <w:p>
      <w:r>
        <w:rPr>
          <w:b/>
        </w:rPr>
        <w:t>E. 1.3</w:t>
      </w:r>
    </w:p>
    <w:p>
      <w:r>
        <w:t>Conformément à l'art. 326 al. 1 CPC, les conclusions, les allégations de faits et les preuves nouvelles sont irrecevables.</w:t>
      </w:r>
    </w:p>
    <w:p>
      <w:r>
        <w:rPr>
          <w:b/>
        </w:rPr>
        <w:t>E. 2</w:t>
      </w:r>
    </w:p>
    <w:p>
      <w:r>
        <w:t>LMO) et ces frais sont fixés légalement par l'Ordonnance fixant le tarif des frais de cadastration des bâtiments (RSF 214.6.16). Même si la valeur de la construction n’est pas mentionnée dans le contrat de vente-entreprise, la construction étant en cours de réalisation au moment de la conclusion du contrat (page 7), les parties (et en particulier le recourant) connaissaient nécessairement la valeur qui avait été indiquée, auparavant déjà, dans la demande de permis de construire. En l’espèce, les frais de cadastration ont été calculés sur une valeur d’immeuble entre CHF 401'000.- et CHF 500'000.- et s’élèvent à CHF 1'320.-, montant auquel s’ajoute la TVA (art. 87 al. 7 LMO). Rien n’indique que l’autorité de taxation aurait fait application de l’exception prévue par l’art. 87 al. 4 LMO, permettant le cas échéant de tenir compte d’une valeur de réalisation plus élevée que celle annoncée. De plus, la valeur retenue est quoi qu’il en soit inférieure à la valeur de CHF 975'000.- représentant le montant du prix de vente de l’immeuble. Il en résulte que le contrat notarié constitue un titre de reconnaissance de dette valable au sens de l'art. 82 LP et que c'est à juste titre que la Présidente a prononcé la mainlevée provisoire de l'opposition. Le grief doit être rejeté.</w:t>
      </w:r>
    </w:p>
    <w:p>
      <w:r>
        <w:rPr>
          <w:b/>
        </w:rPr>
        <w:t>E. 2.1</w:t>
      </w:r>
    </w:p>
    <w:p>
      <w:r>
        <w:t>Dans une argumentation confuse et difficilement compréhensible, le recourant soutient dans un premier temps que les frais objets de la facture du SCG ne constituent pas des frais d’inscription du bâtiment au registre foncier, mais plutôt des frais liés à la mensuration cadastrale, respectivement à la mise à jour de cette dernière, laquelle ne saurait être mise à sa charge. Si les frais devaient être considérés comme des frais d’inscription au registre foncier, ils ne seraient de toute manière pas à la charge de l’entrepreneur, mais bien à la charge des acheteurs conformément à la clause VI B du contrat, lequel prévoit que « tous les frais découlant du présent acte et de son inscription au registre foncier, notamment les émoluments du notaire, les droits de mutation, les émoluments du registre foncier, incombent solidairement aux acheteurs ».</w:t>
      </w:r>
    </w:p>
    <w:p>
      <w:r>
        <w:rPr>
          <w:b/>
        </w:rPr>
        <w:t>E. 2.2</w:t>
      </w:r>
    </w:p>
    <w:p>
      <w:r>
        <w:t>Lors d'un transfert de propriété d'un immeuble, le nouveau propriétaire doit s'inscrire auprès du Registre foncier (art. 656 CC) et les frais d'inscription sont usuellement à la charge de l'acheteur. Les frais d'inscription, qui suivent le transfert de propriété, sont à différencier des frais occasionnés par la procédure de mensuration d'un immeuble nouvellement construit. En effet, lors de la construction d'un nouveau bâtiment, le cadastre doit être mis à jour. Cette mise à jour nécessite de procéder à la mensuration des nouveaux immeubles (art. 86 ss de la Loi sur la mensuration officielle [LMO ; RSF 214.6.1], art. 41 ss du Règlement sur la mensuration officielle [RMO ; RSF 214.6.11]). L'émolument pour la cadastration est réglé aux art. 87 ss LMO. En l'espèce, les frais litigieux ne concernent pas l’inscription de C.________ et B.________ en tant que nouveaux propriétaires suite au transfert de la propriété de l'immeuble, frais qui seraient effectivement à leur charge sur la base de la clause VI B du contrat. Les frais sont consécutifs à l'actualisation du Registre foncier rendue nécessaire par la construction de l'immeuble. Ils ont été déclenchés par la procédure de mensuration et de relevé des plans de la maison et non par sa vente et correspondent à ce qui est prévu à la clause III B h : « faire lever le bâtiment par un géomètre officiel et à le faire inscrire au registre foncier ».</w:t>
      </w:r>
    </w:p>
    <w:p>
      <w:r>
        <w:t>Tribunal cantonal TC Page 4 de 6</w:t>
      </w:r>
    </w:p>
    <w:p>
      <w:r>
        <w:rPr>
          <w:b/>
        </w:rPr>
        <w:t>E. 2.3</w:t>
      </w:r>
    </w:p>
    <w:p>
      <w:r>
        <w:t>Dans un second temps, le recourant réfute l'argument selon lequel ces frais seraient à sa charge en vertu du contrat. Il estime que le principe de l'interprétation objective et le principe de la confiance ont été violés. Le contrat entre A.________ et C.________ et B.________ est à la fois un contrat de vente portant sur le terrain et un contrat d'entreprise dans le but de construire la maison. La clause III.B.f du contrat prévoit que "les entrepreneurs s'engagent, à leurs propres frais exclusifs et sous leur responsabilité à faire lever le bâtiment par un géomètre officiel et à le faire inscrire au Registre foncier". Cette clause, insérée dans la section traitant des obligations de l’entrepreneur, ne laisse aucun doute possible sur son contenu et le sens à en déduire. D'après la formulation retenue dans la convention, il est clair que les frais relatifs à la cadastration et à l’inscription au registre foncier du bâtiment sont à la charge du défendeur. On ne saurait en aucun cas prétendre, comme le fait le recourant, que la clause doit s’interpréter en ce sens qu’il se serait engagé à « veiller » à ce que le bâtiment soit inscrit au registre foncier, mais non pas à supporter les frais de cette opération, car cela heurte de manière frontale le texte même de la clause figurant dans le contrat d’entreprise « Les entrepreneurs s’engagent, à leurs propres frais exclusifs… ». Il s'ensuit que le grief doit être rejeté.</w:t>
      </w:r>
    </w:p>
    <w:p>
      <w:r>
        <w:rPr>
          <w:b/>
        </w:rPr>
        <w:t>E. 2.4</w:t>
      </w:r>
    </w:p>
    <w:p>
      <w:r>
        <w:t>Le recourant conteste également qu’en l’espèce un titre de mainlevée puisse résulter du rapprochement de plusieurs pièces en ce sens que le contrat ne fixe pas le montant dû et qu’il n’a pas reconnu, ni ne pouvait connaître lors de sa signature, le montant qui serait finalement facturé. Il soutient en substance que le montant de la dette n’était ni déterminé, ni déterminable.</w:t>
      </w:r>
    </w:p>
    <w:p>
      <w:r>
        <w:rPr>
          <w:b/>
        </w:rPr>
        <w:t>E. 2.4.1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5ème éd., 2012, n. 775 ss). Ainsi, une facture adressée par le vendeur à l’acheteur vaut reconnaissance de dette si elle est signée par l’acheteur sans réserve ni condition (KRAUSKOPF, La mainlevée provisoire : quelques jurisprudences récentes in JdT 2008 II 32). Une reconnaissance de dette peut aussi résulter d’un ensemble de pièces dans la mesure où il en ressort les éléments nécessaires. Cela signifie que le document signé doit clairement et directement faire référence, ou renvoyer aux documents qui mentionnent le montant de la dette ou permettent de le chiffrer. Une référence n’est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(cf. ATF 139 III 297 consid. 2.3.1; 132 III 480 consid. 4.1). La reconnaissance de dette implique l’indication de la somme reconnue et la signature du débiteur; s’il y a plusieurs pièces, la signature du débiteur doit figurer sur la pièce qui a un caractère décisif (PANCHAUD/CAPREZ, La mainlevée d’opposition, 2e éd. 1940, p. 12).</w:t>
      </w:r>
    </w:p>
    <w:p>
      <w:r>
        <w:t>Tribunal cantonal TC Page 5 de 6</w:t>
      </w:r>
    </w:p>
    <w:p>
      <w:r>
        <w:rPr>
          <w:b/>
        </w:rPr>
        <w:t>E. 2.4.2</w:t>
      </w:r>
    </w:p>
    <w:p>
      <w:r>
        <w:t>En l'espèce, le montant des frais de cadastration n'était certes pas chiffré dans le contrat, mais était déterminé et reconnaissable par les parties au moment de la signature du contrat de vente du 7 mai 2015, sa fixation étant réglée par la loi et n’étant pas laissée à la libre disposition des cocontractants. En effet, les frais de cadastration des bâtiments sont calculés sur la base de la valeur indiquée par le propriétaire dans le cadre de la demande de permis de construire (art. 87 al.</w:t>
      </w:r>
    </w:p>
    <w:p>
      <w:r>
        <w:rPr>
          <w:b/>
        </w:rPr>
        <w:t>E. 3.1</w:t>
      </w:r>
    </w:p>
    <w:p>
      <w:r>
        <w:t>Selon l’art. 106 al. 1 CPC, les frais sont mis à la charge de la partie qui succombe, soit en l'occurrence le recourant. Les frais comprennent d'une part les frais judiciaires (art. 95 al. 1 let. a et al. 2 CPC, art. 124 LJ, art. 10 s. et 19 RJ) et d'autre part les dépens (art. 95 al. 3 CPC).</w:t>
      </w:r>
    </w:p>
    <w:p>
      <w:r>
        <w:rPr>
          <w:b/>
        </w:rPr>
        <w:t>E. 3.2</w:t>
      </w:r>
    </w:p>
    <w:p>
      <w:r>
        <w:t>Les frais judiciaires sont fixés à CHF 200.- et sont mis à la charge du recourant. Le montant sera prélevé sur l'avance de frais.</w:t>
      </w:r>
    </w:p>
    <w:p>
      <w:r>
        <w:rPr>
          <w:b/>
        </w:rPr>
        <w:t>E. 3.3</w:t>
      </w:r>
    </w:p>
    <w:p>
      <w:r>
        <w:t>Les dépens dus par le recourant aux intimés sont, conformément à l’art. 64 al. 1 let. e RJ, fixés de manière globale à CHF 1'077.-, TVA par CHF 77.- comprise. (dispositif en page suivante)</w:t>
      </w:r>
    </w:p>
    <w:p>
      <w:r>
        <w:t>Tribunal cantonal TC Page 6 de 6 la Cour arrête : I. Le recours est rejeté. Partant, la décision de la Présidente du Tribunal civil de l'arrondissement de la Gruyère du 26 mars 2019 est confirmée. II. Les frais de la procédure de recours sont mis à la charge de A.________. Les frais judiciaires sont fixés à CHF 200.- et prélevés sur l’avance versée. Les dépens dus à C.________ et B.________ par A.________ sont fixés à CHF 1'070.-, TVA par CHF 77.-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juin 2019/cdu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