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83 vom 14. Mai 2019</w:t>
      </w:r>
    </w:p>
    <w:p>
      <w:r>
        <w:t>FR Kantonsgericht, 2019-05-14, DE</w:t>
      </w:r>
    </w:p>
    <w:p>
      <w:r>
        <w:rPr>
          <w:b/>
        </w:rPr>
        <w:t xml:space="preserve">Quelle: </w:t>
      </w:r>
      <w:r>
        <w:t>https://mcp.opencaselaw.ch/entscheid/fr_gerichte_102_2019_83</w:t>
      </w:r>
    </w:p>
    <w:p>
      <w:r>
        <w:t>FR: FR_GERICHTE 102 2019 83 du 14 mai 2019</w:t>
      </w:r>
    </w:p>
    <w:p>
      <w:r>
        <w:t>IT: FR_GERICHTE 102 2019 83 del 14 maggio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TC/VD ML/2012/120 du 1er juin 2012 consid. I). L'interdiction des faits nouveaux s'applique également à la partie adverse (cf. arrêt TF 5A_950/2014 du 16 avril 2015 consid. 3.5). Au vu de ce qui précède, l’ensemble des pièces produites par A.________ pour la première fois à l’appui de son recours sont irrecevables. Il n’en sera dès lors pas tenu compte et la Cour statuera sur la base des pièces produites en première instance.</w:t>
      </w:r>
    </w:p>
    <w:p>
      <w:r>
        <w:rPr>
          <w:b/>
        </w:rPr>
        <w:t>E. 1.3</w:t>
      </w:r>
    </w:p>
    <w:p>
      <w:r>
        <w:t>La valeur litigieuse est de CHF 7’700.-.</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Tribunal cantonal TC Page 3 de 4 suppose une désignation précise des passages de la décision que le recourant attaque et des pièces du dossier sur lesquelles repose sa critique (cf. ATF 138 III 374 consid. 4.3.1 et arrêt TF 5A_82/2013 du 18 mars 2013 consid. 3.2).</w:t>
      </w:r>
    </w:p>
    <w:p>
      <w:r>
        <w:rPr>
          <w:b/>
        </w:rPr>
        <w:t>E. 2.2</w:t>
      </w:r>
    </w:p>
    <w:p>
      <w:r>
        <w:t>En l’espèce, force est de constater que le recours déposé par A.________ ne contient aucune motivation idoine. Le recourant s’en prend en effet au bien-fondé du montant qui lui est réclamé, alléguant qu’eu égard aux nombreuses démarches qu’il a entrepris pour remettre en état l’appartement loué aux requérants, le solde des loyers réclamé est injustifié. Ce faisant, à aucun moment il ne tente de critiquer la motivation du Président, lequel a en substance considéré que les créanciers poursuivants avaient produit un contrat de bail et un avenant signés, valant reconnaissance de dette, et que le débiteur n’avait pas fourni de preuve libératoire quant au montant réclamé. Par voie de conséquence, à défaut de répondre aux exigences de motivation posées par l’art. 321 al. 1 CPC, le recours doit être déclaré irrecevable pour défaut de motivation.</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constituant un incident de la poursuite ; il s'agit d'une procédure sur pièces qui n'a pas pour objet de statuer sur la réalité de la prétention en poursuite, mais uniquement sur la force exécutoire du titre produit par le poursuivant (cf. ATF 136 III 583 consid. 2.3). En l’espèce, dès lors que les créanciers poursuivants avaient produit un contrat de bail et son avenant signés par le recourant, valant reconnaissance de dette au sens de l’art. 82 al. 1 LP, et que le débiteur poursuivi n’a pas rendu immédiatement vraisemblable sa libération, la mainlevée provisoire devait être prononcée. En effet, le juge de la mainlevée n'a pas à examiner la validité de la créance déduite en poursuite, son rôle se limitant à la constatation de l'existence ou non d'un titre de mainlevée exécutoire.</w:t>
      </w:r>
    </w:p>
    <w:p>
      <w:r>
        <w:rPr>
          <w:b/>
        </w:rPr>
        <w:t>E. 4.1</w:t>
      </w:r>
    </w:p>
    <w:p>
      <w:r>
        <w:t>Les frais de la procédure de recours doivent être mis à la charge du recourant, qui succombe (art. 106 al. 1 CPC). Ils comprennent les frais judiciaires, fixés forfaitairement à CHF 250.- (art. 48 et 61 al. 1 OELP).</w:t>
      </w:r>
    </w:p>
    <w:p>
      <w:r>
        <w:rPr>
          <w:b/>
        </w:rPr>
        <w:t>E. 4.2</w:t>
      </w:r>
    </w:p>
    <w:p>
      <w:r>
        <w:t>Il n’y a pas lieu d’allouer de dépens à l’intimé dans le cas d’espèce, dès lors qu’il n’a pas été invité à se déterminer sur le recours, conformément au prescrit de l’art. 322 al. 1 CPC. Tribunal cantonal TC Page 4 de 4 la Cour arrête : I. Le recours est irrecevable. II. Les frais de la procédure de recours sont mis à la charge de A.________. Les frais judiciaires sont fixés à CHF 250.-.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mai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