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7 vom 27. Februar 2019</w:t>
      </w:r>
    </w:p>
    <w:p>
      <w:r>
        <w:t>FR Kantonsgericht, 2019-02-27, FR</w:t>
      </w:r>
    </w:p>
    <w:p>
      <w:r>
        <w:rPr>
          <w:b/>
        </w:rPr>
        <w:t xml:space="preserve">Quelle: </w:t>
      </w:r>
      <w:r>
        <w:t>https://mcp.opencaselaw.ch/entscheid/fr_gerichte_102_2019_7</w:t>
      </w:r>
    </w:p>
    <w:p>
      <w:r>
        <w:t>FR: FR_GERICHTE 102 2019 7 du 27 février 2019</w:t>
      </w:r>
    </w:p>
    <w:p>
      <w:r>
        <w:t>IT: FR_GERICHTE 102 2019 7 del 27 febbraio 2019</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de CHF 32'139.85.</w:t>
      </w:r>
    </w:p>
    <w:p>
      <w:r>
        <w:rPr>
          <w:b/>
        </w:rPr>
        <w:t>E. 1.4</w:t>
      </w:r>
    </w:p>
    <w:p>
      <w:r>
        <w:t>Conformément à l'art. 326 al. 1 CPC, les allégations de faits et les preuves nouvelles sont irrecevables.</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la société A.________ Sàrl ne contient aucune motivation idoine. En bref, tout comme en première instance déjà, la débitrice poursuivie se limite à contester, de manière toute générale qui plus est, le fondement de la créance déduite en poursuite. Ce faisant, à aucun moment elle ne tente d'exposer en quoi le premier juge aurait eu tort de prononcer la mainlevée définitive de son opposition – motif pris que sa détermination était irrelevante – et ne formule aucune critique à l'encontre du contenu de la</w:t>
      </w:r>
    </w:p>
    <w:p>
      <w:r>
        <w:t>Tribunal cantonal TC Page 3 de 4 décision querellée elle-même, ne remettant pas en cause la motivation du Président conformément au prescrit de l'art. 321 CPC. Partant, il s'ensuit l'irrecevabilité du recours.</w:t>
      </w:r>
    </w:p>
    <w:p>
      <w:r>
        <w:rPr>
          <w:b/>
        </w:rPr>
        <w:t>E. 3</w:t>
      </w:r>
    </w:p>
    <w:p>
      <w:r>
        <w:t>Quand bien même il serait recevable, le recours devrait de toute façon être rejeté dans la mesure où il est manifestement mal fondé, la décision attaquée ne comportant en définitive aucune erreur que ce soit dans l’application du droit et/ou dans sa justification en fait.</w:t>
      </w:r>
    </w:p>
    <w:p>
      <w:r>
        <w:rPr>
          <w:b/>
        </w:rPr>
        <w:t>E. 3.1</w:t>
      </w:r>
    </w:p>
    <w:p>
      <w:r>
        <w:t>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Aux termes de l’art. 80 al. 2 ch. 2 LP, les décisions des autorités administratives suisses, qu’elles soient fédérales, cantonales ou communales, sont assimilées aux jugements rendus par un tribunal et permettent au créancier de requérir la mainlevée définitive de l'opposition formée au commandement de payer; une fois passées en force de chose jugée, ces décisions sont ainsi exécutoires sur l’ensemble du territoire helvétique (STAEHELIN, Basler Kommentar, 2ème éd., 2010, art. 80 n. 102).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w:t>
      </w:r>
    </w:p>
    <w:p>
      <w:r>
        <w:rPr>
          <w:b/>
        </w:rPr>
        <w:t>E. 3.2</w:t>
      </w:r>
    </w:p>
    <w:p>
      <w:r>
        <w:t>En l'espèce, dès lors que la créancière poursuivante avait produit un titre exécutoire et que la débitrice poursuivie n'a pas établi par titre avoir payé sa dette (art. 81 al. 1 LP), la mainlevée définitive devait être prononcée. En effet, le juge de la mainlevée n'a pas à examiner la validité de la créance déduite en poursuite, son rôle se limitant à la constatation de l'existence ou non d'un titre de mainlevée exécutoire. Pour faire valoir ses droits, l’intéressée aurait dû faire opposition à la décision de taxation du 19 juillet 2018 en temps utile, ce qu’elle n’a pas fait, de sorte que celle-ci est à présent définitive et exécutoire.</w:t>
      </w:r>
    </w:p>
    <w:p>
      <w:r>
        <w:rPr>
          <w:b/>
        </w:rPr>
        <w:t>E. 4.1</w:t>
      </w:r>
    </w:p>
    <w:p>
      <w:r>
        <w:t>Les frais de la procédure de recours doivent être mis à la charge de la recourante, qui succombe (art. 106 al. 1 CPC). Ils comprennent les frais judiciaires, fixés forfaitairement à CHF 100.- (art. 48 et 61 al. 1 OELP).</w:t>
      </w:r>
    </w:p>
    <w:p>
      <w:r>
        <w:rPr>
          <w:b/>
        </w:rPr>
        <w:t>E. 4.2</w:t>
      </w:r>
    </w:p>
    <w:p>
      <w:r>
        <w:t>Il n'y a pas lieu d'allouer de dépens à l’intimée dans le cas d'espèce, dès lors qu’elle n’a pas été invitée à se déterminer sur le recours, conformément au prescrit de l'art. 322 al. 1 CPC.</w:t>
      </w:r>
    </w:p>
    <w:p>
      <w:r>
        <w:t>Tribunal cantonal TC Page 4 de 4 la Cour arrête : I. Le recours est irrecevable. II. Les frais de la procédure de recours sont mis à la charge de la société A.________ Sàrl. Les frais judiciaire sont fixés à CHF 100.-.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février 2019/lda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