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62 vom 7. Mai 2019</w:t>
      </w:r>
    </w:p>
    <w:p>
      <w:r>
        <w:t>FR Kantonsgericht, 2019-05-07, DE</w:t>
      </w:r>
    </w:p>
    <w:p>
      <w:r>
        <w:rPr>
          <w:b/>
        </w:rPr>
        <w:t xml:space="preserve">Quelle: </w:t>
      </w:r>
      <w:r>
        <w:t>https://mcp.opencaselaw.ch/entscheid/fr_gerichte_102_2019_62</w:t>
      </w:r>
    </w:p>
    <w:p>
      <w:r>
        <w:t>FR: FR_GERICHTE 102 2019 62 du 7 mai 2019</w:t>
      </w:r>
    </w:p>
    <w:p>
      <w:r>
        <w:t>IT: FR_GERICHTE 102 2019 62 del 7 maggio 2019</w:t>
      </w:r>
    </w:p>
    <w:p>
      <w:pPr>
        <w:pStyle w:val="Heading2"/>
      </w:pPr>
      <w:r>
        <w:t>Regeste</w:t>
      </w:r>
    </w:p>
    <w:p>
      <w:r>
        <w:t>Urteil des II. Zivilappellationshofs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des Gerichtspräsidenten des Sensebezirks vom 28. Februar 2019 wurde dem Beschwerdeführer am 4. März 2019 zugestellt. Die am 8. März 2019 eingereichte und am 14. März 2019 ergänzte Beschwerde erfolgte somit fristgerecht.</w:t>
      </w:r>
    </w:p>
    <w:p>
      <w:r>
        <w:rPr>
          <w:b/>
        </w:rPr>
        <w:t>E. 1.2</w:t>
      </w:r>
    </w:p>
    <w:p>
      <w:r>
        <w:t>Mit der Beschwerde kann die unrichtige Rechtsanwendung und/oder die offensichtlich unrichtige Feststellung des Sachverhalts geltend gemacht werden (Art. 320 ZPO).</w:t>
      </w:r>
    </w:p>
    <w:p>
      <w:r>
        <w:rPr>
          <w:b/>
        </w:rPr>
        <w:t>E. 1.3</w:t>
      </w:r>
    </w:p>
    <w:p>
      <w:r>
        <w:t>Die Rechtsmittelinstanz kann aufgrund der Akten entscheiden (Art. 327 Abs. 2 ZPO).</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 dete Betrag bei der Rechtsmittelinstanz zuhanden des Gläubigers hinterlegt ist (Ziff. 2) oder dass der Gläubiger auf die Durchführung des Konkurses verzichtet (Ziff. 3). Der Schuldner hat die Zahlungsfähigkeit mit der Beschwerde glaubhaft zu machen und mit dieser sind auch die Urkunden für den Beweis der Konkursaufhebungsgründe im Sinne von Ziff. 1-3 einzureichen (BGE 139 III 491 E. 4). Für die Konkurshinderungsgründe gemäss Art. 174 Abs. 2 Ziff. 1-3 SchKG muss folgerichtig gelten, was für das Beibringen der Urkunden zu ihrem Beweis gilt. Konkurshinderungsgründe sind gemäss Art. 174 SchKG nur zu berücksichtigen, wenn sie sich innert der Rechtsmittelfrist verwirklicht haben und geltend gemacht werden (BGE 136 III 294 E. 3.2). Kantonsgericht KG Seite 3 von 4 Glaubhaft gemacht ist eine Tatsache dann, wenn für deren Vorhandensein gewisse Elemente sprechen, selbst wenn das Gericht noch mit der Möglichkeit rechnet, dass sie sich nicht verwirk- licht haben könnte (BGE 132 III 715 E. 3.1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Unternehmens des Schuldners nicht von vornherein ausgeschlossen werden kann. Es liegt am Schuldner, Beweismit- tel vorzulegen, die geeignet sind, seine Zahlungsfähigkeit als glaubhaft erscheinen zu lassen. Der Schuldner muss namentlich nachweisen, dass gegen ihn kein Konkursbegehren in einer ordentli- chen Konkurs- oder in einer Wechselbetreibung hängig ist und dass keine weiteren vollstreckbaren Betreibungen vorliegen. Zahlungsfähigkeit bedeutet, dass ausreichend liquide Mittel zur Beglei- chung der fälligen Schulden vorhanden sind. Grundsätzlich als zahlungsunfähig erweist sich ein Schuldner, der beispielsweise Konkursandrohungen anhäufen lässt, systematisch Rechtsvor- schlag erhebt und selbst kleinere Beträge nicht bezahlt. Bloss vorübergehende Zahlungsschwierig- 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(STAEHELIN, in Basler Kommentar SchKG, Ergänzungsband zur 2. Aufl. 2017, Art. 174 N. 26a mit weiteren Hinweisen).</w:t>
      </w:r>
    </w:p>
    <w:p>
      <w:r>
        <w:rPr>
          <w:b/>
        </w:rPr>
        <w:t>E. 2.2</w:t>
      </w:r>
    </w:p>
    <w:p>
      <w:r>
        <w:t>Gemäss Vorladung des Gerichtspräsidenten vom 3. Januar 2019 betrug der Ausstand, inklu- sive Zins, Betreibungs- und Inkassokosten sowie Entscheidgebühr des Beschwerdeführers zu jenem Zeitpunkt insgesamt CHF 34'870.-. Der Beschwerdeführer legt eine Quittung des Betrei- bungsamtes des Sensebezirks vom 8. März 2019 über CHF 57'242.-, sowie eine Verteilungsanzei- ge über diesen Betrag und einen Auszug aus dem Betreibungsregister vom gleichen Tag, ins Recht, woraus ersichtlich ist, dass sämtliche gegen den Beschwerdeführer hängigen Betreibun- gen, inklusive diejenige, die Anlass zum Konkursverfahren gegeben hat, getilgt sind. Damit ist eine Voraussetzung von Art. 174 Abs. 2 SchKG erfüllt.</w:t>
      </w:r>
    </w:p>
    <w:p>
      <w:r>
        <w:rPr>
          <w:b/>
        </w:rPr>
        <w:t>E. 2.3</w:t>
      </w:r>
    </w:p>
    <w:p>
      <w:r>
        <w:t>In Bezug auf die Zahlungsfähigkeit bringt der Beschwerdeführer vor, die Wirtschaftlichkeit seines Reinigungsunternehmens sei durch verschiedene hängige Aufträge gewährleistet. Er reicht dazu eine Liste seiner laufenden Kunden, sowie verschiedene Offerten und Rechnungen ein. Schliesslich belegt er mit einem Kontoauszug über das Jahr 2018 und über die Monate Januar und Februar 2019, dass die geltend gemachten hängigen Aufträge auch zu regelmässigen Zahlungs- eingängen geführt haben. Zwar weist der Beschwerdeführer nicht mit Urkunden nach, dass auch für die Zukunft ausreichend liquide Mittel vorhanden sind. Aufgrund der eingereichten Unterlagen ist allerdings keine Illiquidität erkennbar. Mit Blick darauf, dass keine allzu strengen Anforderungen an die Glaubhaftmachung der Zahlungsfähigkeit gestellt werden dürfen, ist diese somit insgesamt als glaubhaft gemacht zu betrachten. Die Beschwerde ist gutzuheissen und die Konkurseröffnung aufzuheben.</w:t>
      </w:r>
    </w:p>
    <w:p>
      <w:r>
        <w:rPr>
          <w:b/>
        </w:rPr>
        <w:t>E. 3.1</w:t>
      </w:r>
    </w:p>
    <w:p>
      <w:r>
        <w:t>Da der Beschwerdeführer das Verfahren durch nicht rechtzeitiges Bezahlen des geschulde- ten Betrages verursacht hat, sind ihm die Prozesskosten für beide Instanzen aufzuerlegen (Art. 108 ZPO). Kantonsgericht KG Seite 4 von 4 Die Gerichtskosten für das erstinstanzliche Verfahren werden auf CHF 200.- festgesetzt und dem Beschwerdeführer auferlegt; sie werden von dem durch die Gesuchstellerin geleisteten Kostenvor- schuss bezogen und sind ihr durch den Beschwerdeführer zu ersetzen. Die Gerichtskosten für das Beschwerdeverfahren werden auf CHF 500.- festgesetzt und mit dem vom Beschwerdeführer geleisteten Kostenvorschuss verrechnet (Art. 52 und 61 Abs. 1 GebV SchKG).</w:t>
      </w:r>
    </w:p>
    <w:p>
      <w:r>
        <w:rPr>
          <w:b/>
        </w:rPr>
        <w:t>E. 3.2</w:t>
      </w:r>
    </w:p>
    <w:p>
      <w:r>
        <w:t>Es wird keine Parteientschädigung zugesprochen. Der Hof erkennt: I. Die Beschwerde wird gutgeheissen. Der Konkursentscheid des Präsidenten des Zivilgerichts des Sensebezirks vom 28. Februar 2019 wird aufgehoben. II. Die Prozesskosten werden A.________ auferlegt. Die Gerichtskosten für das erstinstanzliche Verfahren werden auf CHF 200.- festgesetzt; sie sind vom Kostenvorschuss der B.________ AG zu beziehen und von A.________ zurückzu- erstatten. Die Gerichtskosten für das Beschwerdeverfahren werden auf CHF 500.- festgesetzt und mit dem durch A.________ geleisteten Kostenvorschuss verrechnet. Es werden keine Parteientschädigungen zugesprochen.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7. Mai 2019/dbe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