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34 vom 29. April 2019</w:t>
      </w:r>
    </w:p>
    <w:p>
      <w:r>
        <w:t>FR Kantonsgericht, 2019-04-29, FR</w:t>
      </w:r>
    </w:p>
    <w:p>
      <w:r>
        <w:rPr>
          <w:b/>
        </w:rPr>
        <w:t xml:space="preserve">Quelle: </w:t>
      </w:r>
      <w:r>
        <w:t>https://mcp.opencaselaw.ch/entscheid/fr_gerichte_102_2019_34</w:t>
      </w:r>
    </w:p>
    <w:p>
      <w:r>
        <w:t>FR: FR_GERICHTE 102 2019 34 du 29 avril 2019</w:t>
      </w:r>
    </w:p>
    <w:p>
      <w:r>
        <w:t>IT: FR_GERICHTE 102 2019 34 del 29 aprile 2019</w:t>
      </w:r>
    </w:p>
    <w:p>
      <w:pPr>
        <w:pStyle w:val="Heading2"/>
      </w:pPr>
      <w:r>
        <w:t>Regeste</w:t>
      </w:r>
    </w:p>
    <w:p>
      <w:r>
        <w:t>Arrêt de la IIe Cour d'appel civil du Tribunal cantonal | Rechtsöffnung</w:t>
      </w:r>
    </w:p>
    <w:p>
      <w:pPr>
        <w:pStyle w:val="Heading2"/>
      </w:pPr>
      <w:r>
        <w:t>Erwägungen</w:t>
      </w:r>
    </w:p>
    <w:p>
      <w:r>
        <w:rPr>
          <w:b/>
        </w:rPr>
        <w:t>E. 15</w:t>
      </w:r>
    </w:p>
    <w:p>
      <w:r>
        <w:t>novembre 2018, à l'instance de la Caisse de compensation du canton de Fribourg, est rejetée. 2. Il n'est pas alloué d'équitable indemnité de partie.</w:t>
      </w:r>
    </w:p>
    <w:p>
      <w:r>
        <w:t>Tribunal cantonal TC Page 7 de 7 3. Les frais judiciaires dus à l’Etat, fixés à CHF 110.-, sont mis à la charge de la Caisse de compensation du canton de Fribourg. Ils seront acquittés par prélèvement sur l’avance de frais qu’elle a effectuée. II. Les frais de la procédure de recours sont mis à la charge de la Caisse de compensation du canton de Fribourg. Les frais judiciaires, fixés forfaitairement à CHF 150.-, sont prélevés sur l’avance de frais effectuée par A.________, qui a droit à son remboursement par la Caisse de compensation du canton de Fribourg.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avril 2019/isc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