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27 vom 29. März 2019</w:t>
      </w:r>
    </w:p>
    <w:p>
      <w:r>
        <w:t>FR Kantonsgericht, 2019-03-29, FR</w:t>
      </w:r>
    </w:p>
    <w:p>
      <w:r>
        <w:rPr>
          <w:b/>
        </w:rPr>
        <w:t xml:space="preserve">Quelle: </w:t>
      </w:r>
      <w:r>
        <w:t>https://mcp.opencaselaw.ch/entscheid/fr_gerichte_102_2019_27</w:t>
      </w:r>
    </w:p>
    <w:p>
      <w:r>
        <w:t>FR: FR_GERICHTE 102 2019 27 du 29 mars 2019</w:t>
      </w:r>
    </w:p>
    <w:p>
      <w:r>
        <w:t>IT: FR_GERICHTE 102 2019 27 del 29 marzo 2019</w:t>
      </w:r>
    </w:p>
    <w:p>
      <w:pPr>
        <w:pStyle w:val="Heading2"/>
      </w:pPr>
      <w:r>
        <w:t>Regeste</w:t>
      </w:r>
    </w:p>
    <w:p>
      <w:r>
        <w:t>Arrêt de la IIe Cour d'appel civil du Tribunal cantonal | Rechtsöffnung</w:t>
      </w:r>
    </w:p>
    <w:p>
      <w:pPr>
        <w:pStyle w:val="Heading2"/>
      </w:pPr>
      <w:r>
        <w:t>Erwägungen</w:t>
      </w:r>
    </w:p>
    <w:p>
      <w:r>
        <w:rPr>
          <w:b/>
        </w:rPr>
        <w:t>E. 1.1</w:t>
      </w:r>
    </w:p>
    <w:p>
      <w:r>
        <w:t>La voie du recours (art. 319 ss CPC) au Tribunal cantonal est ouverte (art. 319 let. a CPC), l'appel n'étant pas recevable contre une décision de mainlevée (art. 309 let. b ch. 3 CPC).</w:t>
      </w:r>
    </w:p>
    <w:p>
      <w:r>
        <w:rPr>
          <w:b/>
        </w:rPr>
        <w:t>E. 1.2</w:t>
      </w:r>
    </w:p>
    <w:p>
      <w:r>
        <w:t>Le délai pour faire recours contre la décision est de 10 jours à compter de sa notification (art. 321 al. 2 CPC), la procédure de mainlevée étant sommaire (art. 251 let. a CPC). Déposé le 28 janvier 2019, le recours respecte ce délai, la décision attaquée ayant été notifiée au recourant le 17 janvier 2019.</w:t>
      </w:r>
    </w:p>
    <w:p>
      <w:r>
        <w:rPr>
          <w:b/>
        </w:rPr>
        <w:t>E. 1.3</w:t>
      </w:r>
    </w:p>
    <w:p>
      <w:r>
        <w:t>En application de l’art. 327 al. 2 CPC, la Cour peut statuer sur pièces, sans tenir audience.</w:t>
      </w:r>
    </w:p>
    <w:p>
      <w:r>
        <w:t>Tribunal cantonal TC Page 3 de 4</w:t>
      </w:r>
    </w:p>
    <w:p>
      <w:r>
        <w:rPr>
          <w:b/>
        </w:rPr>
        <w:t>E. 1.4</w:t>
      </w:r>
    </w:p>
    <w:p>
      <w:r>
        <w:t>La cognition de la Cour est pleine et entière en droit; s’agissant des faits, elle est limitée à leur constatation manifestement inexacte (art. 320 CPC).</w:t>
      </w:r>
    </w:p>
    <w:p>
      <w:r>
        <w:rPr>
          <w:b/>
        </w:rPr>
        <w:t>E. 1.5</w:t>
      </w:r>
    </w:p>
    <w:p>
      <w:r>
        <w:t>Conformément à l’art. 326 al. 1 CPC, les allégations de faits et les preuves nouvelles sont irrecevables au stade du recours.</w:t>
      </w:r>
    </w:p>
    <w:p>
      <w:r>
        <w:rPr>
          <w:b/>
        </w:rPr>
        <w:t>E. 1.6</w:t>
      </w:r>
    </w:p>
    <w:p>
      <w:r>
        <w:t>La valeur litigieuse est de CHF 56'400.-.</w:t>
      </w:r>
    </w:p>
    <w:p>
      <w:r>
        <w:rPr>
          <w:b/>
        </w:rPr>
        <w:t>E. 2.1</w:t>
      </w:r>
    </w:p>
    <w:p>
      <w:r>
        <w:t>Le recourant soulève le grief de violation du droit d’être entendu, dans la mesure où il n’a pas pu se déterminer sur la demande de mainlevée déposée par l’intimée avant que ne soit rendue la décision attaquée, les envois des 15 et 29 novembre 2018 ayant été expédiés à une adresse incorrecte.</w:t>
      </w:r>
    </w:p>
    <w:p>
      <w:r>
        <w:rPr>
          <w:b/>
        </w:rPr>
        <w:t>E. 2.2</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En procédure civile, le droit d'être entendu trouve son expression à l'art. 53 al. 1 CPC, qui reprend la formulation générale de l'art. 29 al. 2 Cst.; il confère à toute partie, parmi d'autres prérogatives, de prendre position sur toutes les écritures de la partie adverse (ATF 142 III 48 consid. 4.1.1 et les références citées). Le droit d'être entendu est une garantie de nature formelle, dont la violation entraîne en principe l'annulation de la décision attaquée, indépendamment des chances de succès du recours sur le fond. Selon la jurisprudence, la violation du droit d'être entendu peut cependant être réparée lorsque la partie lésée a la possibilité de s'exprimer devant une autorité de recours jouissant d'un plein pouvoir d'examen (cf. ATF 137 I 195 consid. 2.3.2), ce qui n’est pas le cas de la Cour statuant en procédure de recours au sens strict.</w:t>
      </w:r>
    </w:p>
    <w:p>
      <w:r>
        <w:rPr>
          <w:b/>
        </w:rPr>
        <w:t>E. 2.3</w:t>
      </w:r>
    </w:p>
    <w:p>
      <w:r>
        <w:t>En l’espèce, par pli recommandé du 15 novembre 2018, réexpédié par courrier A le 29 novembre 2018, le Président a imparti au recourant un délai de 10 jours pour se déterminer sur la requête de mainlevée de l’opposition. Or, ces courriers, mentionnant un nom incomplet et une case postale attribuée à un tiers, ne sont manifestement jamais parvenus au recourant. Ainsi, ce dernier n’a eu connaissance de l’existence de la requête de mainlevée que par lecture de la décision attaquée, laquelle ne lui a finalement été notifiée valablement que le 17 janvier 2019, après deux tentatives non valides les 13 décembre 2018 et 7 janvier 2019. Le recourant n’a ainsi pas été en mesure de se déterminer sur la requête de mainlevée avant que la décision litigieuse ne soit prise à son détriment. Il s’ensuit l’admission de ce grief et le renvoi de la cause au premier juge.</w:t>
      </w:r>
    </w:p>
    <w:p>
      <w:r>
        <w:rPr>
          <w:b/>
        </w:rPr>
        <w:t>E. 3</w:t>
      </w:r>
    </w:p>
    <w:p>
      <w:r>
        <w:t>L’intimée n’étant pas responsable de la situation et s’étant remise à justice quant au sort du recours, elle ne saurait devoir supporter de frais de procédure ou dépens.</w:t>
      </w:r>
    </w:p>
    <w:p>
      <w:r>
        <w:t>Tribunal cantonal TC Page 4 de 4 Il se justifie dès lors, en application de l’art. 107 al. 2 CPC, de mettre les frais de procédure, fixés à CHF 400.-, à charge de l’Etat. L’avance de frais versée par le recourant le 11 février 2019 lui est restituée. Il n’est pas alloué de dépens. la Cour arrête : I. Le recours est admis. Partant, la décision du Président du Tribunal civil de l'arrondissement de la Gruyère du 13 décembre 2018 est annulée. La cause lui est renvoyée pour nouvelle décision. II. Les frais de procédure, fixés à CHF 400.-, sont mis à la charge de l’Etat.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mars 2019/isc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