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254 vom 14. November 2019</w:t>
      </w:r>
    </w:p>
    <w:p>
      <w:r>
        <w:t>FR Kantonsgericht, 2019-11-14, FR</w:t>
      </w:r>
    </w:p>
    <w:p>
      <w:r>
        <w:rPr>
          <w:b/>
        </w:rPr>
        <w:t xml:space="preserve">Quelle: </w:t>
      </w:r>
      <w:r>
        <w:t>https://mcp.opencaselaw.ch/entscheid/fr_gerichte_102_2019_254</w:t>
      </w:r>
    </w:p>
    <w:p>
      <w:r>
        <w:t>FR: FR_GERICHTE 102 2019 254 du 14 novembre 2019</w:t>
      </w:r>
    </w:p>
    <w:p>
      <w:r>
        <w:t>IT: FR_GERICHTE 102 2019 254 del 14 novembre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17 octobre 2019 et celle-ci a recouru le 18 octobre 2019, acte qu’elle a complété le 22 octobre 2019,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2e éd. 2010, art. 174 n. 26) ; elle consiste en la capacité du débiteur de disposer de liquidités suffisantes pour payer ses dettes échues et peut aussi être présente si cette capacité fait temporairement</w:t>
      </w:r>
    </w:p>
    <w:p>
      <w:r>
        <w:t>Tribunal cantonal TC Page 3 de 4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la recourante a produit auprès du Tribunal cantonal un courrier de l’intimée daté du 17 octobre 2019 dans lequel la créancière explique à la Présidente du Tribunal civil de l'arrondissement de la Gruyère vouloir retirer sa réquisition de faillite, ceci au motif que la créance réclamée a été payée le 16 septembre 2019 (cf. bordereau du recours, pièce 6). Le retrait de la réquisition de poursuite a en outre été confirmé par l’intimée par courrier du 8 novembre 2019 adressé à la Cour de céans. La condition de l'art. 174 al. 2 ch. 3 LP est dès lors réalisée.</w:t>
      </w:r>
    </w:p>
    <w:p>
      <w:r>
        <w:rPr>
          <w:b/>
        </w:rPr>
        <w:t>E. 2.3</w:t>
      </w:r>
    </w:p>
    <w:p>
      <w:r>
        <w:t>Concernant la solvabilité de la faillie, s’il est vrai qu’il ressort de l'extrait des poursuites qu'elle a des dettes pour un peu plus de CHF 30'000.-, aucun acte de défaut de biens n'est enregistré à son encontre (cf. extrait du registre des poursuites du 17 octobre 2019), et la recourante dispose de moyens suffisants pour s’acquitter de ses poursuites. En effet, à la lecture des pièces produites à l’appui du recours, il apparaît que l’entreprise présente au 30 juin 2019 un bilan positif et que la faillie dispose d’une ligne de crédit de CHF 300'000.- auprès de la Banque Cantonale de Fribourg, dont seulement CHF 12'639.09 ont jusqu’à présent été utilisés (cf. bordereau du recours, pièce 7-8). La recourante disposant d'avoirs suite au paiement de la créance litigieuse, sa solvabilité doit être considérée comme vraisemblable, de sorte que la deuxième condition cumulative est satisfaite. Il s'ensuit que le recours doit être admis et la faillite annulée.</w:t>
      </w:r>
    </w:p>
    <w:p>
      <w:r>
        <w:rPr>
          <w:b/>
        </w:rPr>
        <w:t>E. 3.1</w:t>
      </w:r>
    </w:p>
    <w:p>
      <w:r>
        <w:t>Malgré l’admission du recours, les frais de la première et de la seconde instance sont mis à la charge de la recourante qui, faute de s’être assurée auprès de l’autorité qui l’avait citée à comparaître que la réquisition de faillite n’était plus pendante, a occasionné la présente procédure (art. 108 CPC). Pour l’instance de recours, ils sont fixés au montant forfaitaire de CHF 500.- (émolument global ; art. 52 et 61 OELP). Pour la première instance, ils sont fixés à CHF 100.- comme mentionné dans la décision de la Présidente du Tribunal civil de l’arrondissement de la Gruyère.</w:t>
      </w:r>
    </w:p>
    <w:p>
      <w:r>
        <w:rPr>
          <w:b/>
        </w:rPr>
        <w:t>E. 3.2</w:t>
      </w:r>
    </w:p>
    <w:p>
      <w:r>
        <w:t>Selon l'art. 105 al. 2 CPC, le tribunal fixe les dépens selon le tarif, soit le règlement fribourgeois du 30 novembre 2010 sur la justice (RJ ; RSF 130.11). En cas de fixation globale, comme en l'espèce (art. 64 al. 1 let. a RJ), l’autorité tient compte notamment de la nature, de la difficulté et de l’ampleur de la procédure et du travail nécessaire de l’avocat, ainsi que de l’intérêt et de la situation économiques des parties (art. 63 al. 2 RJ).</w:t>
      </w:r>
    </w:p>
    <w:p>
      <w:r>
        <w:t>Tribunal cantonal TC Page 4 de 4 En l'espèce, compte tenu de ces critères, il se justifie de fixer les dépens de B.________ AG à la somme de CHF 300.-, débours compris, plus la TVA par CHF 23.10 (7.7 % de CHF 300.-). la Cour arrête : I. Le recours est admis. Partant, la décision du 7 octobre 2019 rendue par la Présidente du Tribunal civil de l’arrondissement de la Gruyère prononçant la faillite de A.________ SA est annulée. II. Les frais de procédure des deux instances sont mis à la charge de A.________ SA. Pour la première instance, ils ont été fixés à CHF 100.-. Ils seront prélevés sur l'avance de frais versée par B.________ AG, qui aura droit à leur remboursement par A.________ SA. Pour la procédure de recours, ils sont arrêtés à CHF 500.- et prélevés sur l'avance fournie par A.________ SA. Les dépens de B.________ AG sont fixés globalement à la somme de CHF 300.-, débours compris, plus la TVA par CHF 23.10.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2019/sag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