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252 vom 29. November 2019</w:t>
      </w:r>
    </w:p>
    <w:p>
      <w:r>
        <w:t>FR Kantonsgericht, 2019-11-29, FR</w:t>
      </w:r>
    </w:p>
    <w:p>
      <w:r>
        <w:rPr>
          <w:b/>
        </w:rPr>
        <w:t xml:space="preserve">Quelle: </w:t>
      </w:r>
      <w:r>
        <w:t>https://mcp.opencaselaw.ch/entscheid/fr_gerichte_102_2019_252</w:t>
      </w:r>
    </w:p>
    <w:p>
      <w:r>
        <w:t>FR: FR_GERICHTE 102 2019 252 du 29 novembre 2019</w:t>
      </w:r>
    </w:p>
    <w:p>
      <w:r>
        <w:t>IT: FR_GERICHTE 102 2019 252 del 29 novembre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4'400.-.</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Par acte du 17 octobre 2019, A.________ a produit plusieurs documents dont un extrait du registre foncier. Cette dernière pièce n’ayant pas été produite durant la procédure de première instance, ce nouveau moyen, tardif au regard de l’art. 326 al. 1 CPC, est irrecevable. Il n’en sera dès lors pas tenu compte.</w:t>
      </w:r>
    </w:p>
    <w:p>
      <w:r>
        <w:rPr>
          <w:b/>
        </w:rPr>
        <w:t>E. 2</w:t>
      </w:r>
    </w:p>
    <w:p>
      <w:r>
        <w:t>La recourante fait grief au Président du Tribunal civil de l’arrondissement de la Sarine de ne pas avoir prononcé la mainlevée provisoire de l’opposition. Elle soutient pour l’essentiel que, quand</w:t>
      </w:r>
    </w:p>
    <w:p>
      <w:r>
        <w:t>Tribunal cantonal TC Page 3 de 4 bien même le contrat de bail produit ne mentionne pas le nom du bailleur, respectivement son nom, elle est propriétaire de l’immeuble en location comme l’atteste l’extrait du registre foncier, de sorte qu’elle est bien en possession d’un titre de mainlevée au sens de l’art. 82 LP.</w:t>
      </w:r>
    </w:p>
    <w:p>
      <w:r>
        <w:rPr>
          <w:b/>
        </w:rPr>
        <w:t>E. 2.1</w:t>
      </w:r>
    </w:p>
    <w:p>
      <w:r>
        <w:t>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(cf. ATF 130 III 87 consid. 3.1). Elle peut découler d’un simple écrit ou d’un ensemble de pièces pourvu que les éléments nécessaires en résultent (CR LP-SCHMIDT, 2005, art. 82 n. 18).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(cf. GILLIÉRON, Poursuites pour dettes, faillite et concordat, 5e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(cf. ATF 139 III 444 consid. 4.1.1; arrêt TF 5P.239/2002 du 22 août 2002 consid. 3.1). Finalement, il peut examiner d’office si la poursuite est à l’évidence périmée ou nulle (cf. ATF 139 III 444 consid. 4.1.1 et les références citées). En définitive, le juge se limite à vérifier l’authenticité du jugement, du titre ou de la décision à exécuter ainsi que son caractère exécutoire; le fond, quant à lui, n’est pas examiné (cf. STOFFEL/CHABLOZ, Voies d’exécution – Poursuite pour dettes, exécution de jugements et faillite en droit suisse, 2e éd. 2010, n. 76 p. 110).</w:t>
      </w:r>
    </w:p>
    <w:p>
      <w:r>
        <w:rPr>
          <w:b/>
        </w:rPr>
        <w:t>E. 2.2</w:t>
      </w:r>
    </w:p>
    <w:p>
      <w:r>
        <w:t>En l’espèce, le Président du Tribunal de l’arrondissement de la Sarine a rejeté la requête de mainlevée provisoire de l’opposition au motif que le contrat de bail produit par A.________ n’indiquait pas le nom du bailleur, de sorte qu’il ne permettait pas d’établir qu’elle était la bailleresse, respectivement la créancière de C.________. Quand bien même la recourante allègue désormais dans son acte de recours être la propriétaire de l’immeuble loué, c’est à bon droit que le Président n’a pas accordé la mainlevée provisoire de l’opposition. En effet, s’il est vrai qu’un contrat de bail constitue un titre de mainlevée au sens de l’art. 82 LP, le contrat de bail du 8 juillet 2016 produit en l’espèce ne mentionne pas A.________ en qualité de bailleresse, de sorte que le document en question ne permet pas d’établir le droit de la recourante de poursuivre l’intimé. Au vu de ce qui précède, et étant précisé qu’il n’appartient pas au juge de la mainlevée de statuer sur le bienfondé de la créance, la décision contestée ne peut être que confirmée.</w:t>
      </w:r>
    </w:p>
    <w:p>
      <w:r>
        <w:rPr>
          <w:b/>
        </w:rPr>
        <w:t>E. 3</w:t>
      </w:r>
    </w:p>
    <w:p>
      <w:r>
        <w:t>Les frais de la procédure de recours sont mis à la charge de A.________ qui succombe (art. 106 al. 1 CPC). Les frais judiciaires sont fixés forfaitairement à CHF 200.- et seront prélevés sur l’avance de frais effectuée par la recourante (art. 48 et 61 OELP). Il n’est pas alloué de dépens.</w:t>
      </w:r>
    </w:p>
    <w:p>
      <w:r>
        <w:t>Tribunal cantonal TC Page 4 de 4 la Cour arrête : I. Le recours est rejeté. II. Les frais de la procédure de recours sont mis à la charge de A.________. Les frais judiciaires dus à l’Etat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novembre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