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25 vom 6. Februar 2019</w:t>
      </w:r>
    </w:p>
    <w:p>
      <w:r>
        <w:t>FR Kantonsgericht, 2019-02-06, FR</w:t>
      </w:r>
    </w:p>
    <w:p>
      <w:r>
        <w:rPr>
          <w:b/>
        </w:rPr>
        <w:t xml:space="preserve">Quelle: </w:t>
      </w:r>
      <w:r>
        <w:t>https://mcp.opencaselaw.ch/entscheid/fr_gerichte_102_2019_25</w:t>
      </w:r>
    </w:p>
    <w:p>
      <w:r>
        <w:t>FR: FR_GERICHTE 102 2019 25 du 6 février 2019</w:t>
      </w:r>
    </w:p>
    <w:p>
      <w:r>
        <w:t>IT: FR_GERICHTE 102 2019 25 del 6 febbraio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16 janvier 2018. Déposé le 26 janvier 2019, le recours a dès lors été interjeté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1.4</w:t>
      </w:r>
    </w:p>
    <w:p>
      <w:r>
        <w:t>Compte tenu du sort réservé au recours, la requête d’effet suspensif devient sans objet.</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w:t>
      </w:r>
    </w:p>
    <w:p>
      <w:r>
        <w:t>Tribunal cantonal TC Page 3 de 4 pour payer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5A_413/2014 du 20 juin 2014 consid. 4.1).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L’extrait du registre des poursuites constitue un document indispensable pour évaluer la solvabilité du failli (arrêt TC FR A2 2004-190 du 17 mars 2005, in RFJ 2005 392 consid. 2b i.f. et les références citées). En définitive, il suffit, pour l'annulation du jugement de faillite, que la solvabilité du failli soit plus probable que son insolvabilité; cela étant, il ne faut pas poser d'exigences trop sévères (arrêt TF 5A_529/2008 du 25 septembre 2008 et les références citées). S'il n'existe aucune autre poursuite à part celle qui a conduit à l'ouverture de la faillite, la solvabilité est présumée. S'il existe des actes de défaut de biens, la solvabilité est exclue, à moins que le débiteur ne prouve avoir éteint également cette dette après l'émission de l'extrait et avant l'échéance du délai de dix jours de l'art. 174 al. 1, 1e phrase LP (CR LP-COMETTA, 2005, art. 174 LP n. 10). Seuls les moyens à disposition immédiatement et concrètement doivent être pris en considération, alors que ceux futurs et attendus, encore que possibles, ne doivent pas l'être (ibidem, n. 8).</w:t>
      </w:r>
    </w:p>
    <w:p>
      <w:r>
        <w:rPr>
          <w:b/>
        </w:rPr>
        <w:t>E. 2.2.1</w:t>
      </w:r>
    </w:p>
    <w:p>
      <w:r>
        <w:t>En l'espèce, la recourante n’a versé aucun montant à l’intention de la créancière poursuivante, si bien que la première condition posée par l'art. 174 al. 2 ch. 2 LP n’est d’emblée pas remplie. 2.2.2.Par surabondance de motifs, son recours doit être rejeté pour un second motif également, dès lors que la recourante n’a produit aucun document de nature à rendre vraisemblable sa solvabilité. Or, il ressort de l’extrait des poursuites établi le 31 janvier 2019 par l’Office des poursuites de la Gruyère à la demande de la Cour que la débitrice poursuivie fait actuellement l’objet de nombreuses autres poursuites – en sus de celle qui a conduit au prononcé de la faillte – pour un montant total de plusieurs milliers de francs, dont plusieurs se trouvent d’ores et déjà au stade de la commination de faillite. Il s’ensuit le rejet du recours, respectivement la confirmation de la décision de faillite attaquée.</w:t>
      </w:r>
    </w:p>
    <w:p>
      <w:r>
        <w:t>Tribunal cantonal TC Page 4 de 4</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 CHF 100.- (art. 52 et 61 al. 1 de l’ordonnance du 23 septembre 1996 sur les émoluments perçus en application de la loi fédérale sur la poursuite pour dettes et la faillite [OELP; RS 281.35]).</w:t>
      </w:r>
    </w:p>
    <w:p>
      <w:r>
        <w:rPr>
          <w:b/>
        </w:rPr>
        <w:t>E. 4.2</w:t>
      </w:r>
    </w:p>
    <w:p>
      <w:r>
        <w:t>Il n'y a pas lieu d'allouer d’équitable indemnité de partie à l’intimée dans le cas d'espèce, dès lors qu’elle n’a pas été invitée à se déterminer sur le recours, conformément au prescrit de l'art. 322 al. 1 CPC. la Cour arrête: I. Le recours est rejeté. Partant, la décision de faillite rendue le 7 janvier 2019 (cause no 10 2018 1524) par le Président du Tribunal civil de l'arrondissement de la Gruyère est confirmée. II. La requête d’effet suspensif est sans objet. III. Les frais judiciaires de la procédure de recours, fixés à CHF 100.-, sont mis à la charge de la société A.________ Sàrl en liquidation.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2019/lda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