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189 vom 23. August 2019</w:t>
      </w:r>
    </w:p>
    <w:p>
      <w:r>
        <w:t>FR Kantonsgericht, 2019-08-23, FR</w:t>
      </w:r>
    </w:p>
    <w:p>
      <w:r>
        <w:rPr>
          <w:b/>
        </w:rPr>
        <w:t xml:space="preserve">Quelle: </w:t>
      </w:r>
      <w:r>
        <w:t>https://mcp.opencaselaw.ch/entscheid/fr_gerichte_102_2019_189</w:t>
      </w:r>
    </w:p>
    <w:p>
      <w:r>
        <w:t>FR: FR_GERICHTE 102 2019 189 du 23 août 2019</w:t>
      </w:r>
    </w:p>
    <w:p>
      <w:r>
        <w:t>IT: FR_GERICHTE 102 2019 189 del 23 agosto 2019</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2019 189 Arrêt du 23 août 2019 IIe Cour d’appel civil Composition Présidente : Dina Beti Juges : Catherine Overney, Michel Favre Greffière : Agnès Dubey Parties A.________ Sàrl, défenderesse et recourante, représentée par Me Pierre Mauron, avocat contre B.________ SA, requérante et intimée Objet Annulation de la faillite (art. 174 LP) Recours du 23 juillet 2019 contre le jugement de faillite rendu par la Présidente du Tribunal civil de l'arrondissement de la Gruyère le 1er juillet 2019</w:t>
      </w:r>
    </w:p>
    <w:p>
      <w:r>
        <w:t>Tribunal cantonal TC Page 2 de 3 attendu que, par mémoire de son mandataire du 23 juillet 2019, A.________ Sàrl a interjeté recours contre la décision du 1er juillet 2019 de la Présidente du Tribunal civil de l'arrondissement de la Gruyère prononçant sa faillite; qu'elle a également sollicité l’effet suspensif que la Présidente de la Cour a octroyé le 29 juillet 2019; qu'invitée à se déterminer sur le recours, B.________ SA a conclu à son rejet;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en date du 23 juillet 2019, soit dans le délai de recours, la débitrice poursuivie a déposé auprès du Tribunal cantonal la somme de CHF 120'000.-; que ce montant est suffisant pour couvrir l’entier de la poursuite ayant donné lieu à la faillite, intérêts et frais accessoires compris, ainsi que l'ensemble des poursuites dirigées contre elle; qu'en effet, il ressort de l'extrait du registre des poursuites établi le 12 juillet 2019 par l’Office des poursuites de la Gruyère l'existence d'autres poursuites pour un montant total de CHF 113'439.65; qu'au surplus, ledit extrait ne fait état d’aucun acte de défaut de biens enregistré à l’encontre de la recourante; qu'il ressort du relevé du 22 juillet 2019 du compte bancaire produit par la recourante que cette dernière dispose encore de liquidités à hauteur d'environ CHF 6'000.-, de telle sorte qu'il y a lieu d'admettre qu'elle a rendu vraisemblable sa solvabilité; qu'en conséquence, les premières conditions posées par l'art. 174 al. 2 LP sont remplies; que le montant de CHF 120'000.- consigné auprès du Tribunal cantonal le 23 juillet 2019 sera transmis sans délai à l’Office des poursuites de la Gruyère, afin qu'il les affecte au remboursement des poursuites dirigées contre la débitrice poursuivie;</w:t>
      </w:r>
    </w:p>
    <w:p>
      <w:r>
        <w:t>Tribunal cantonal TC Page 3 de 3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de frais du même montant effectuée le 6 août 2019; qu’il n’y a pas lieu d’allouer de dépens à l'intimée, qui n'est pas représentée par un mandataire professionnel; la Cour arrête : I. Le recours est admis. Partant, le jugement de la Présidente du Tribunal civil de l'arrondissement de la Gruyère du 1er juillet 2019 est annulé. II. Le montant de CHF 120'000.- consigné au greffe du Tribunal cantonal le 23 juillet 2019 est transmis sans délai à l'Office des poursuites de la Gruyère, afin qu'il l'affecte au remboursement des poursuites dirigées contre la société A.________ Sàrl. III. Les frais judiciaires des deux instances sont mis à la charge de la société A.________ Sàrl. L'émolument global s'élève à CHF 100.- pour la première instance; il sera prélevé sur l'avance de frais effectuée par B.________ SA, qui a droit à son remboursement par la société A.________ Sàrl. Le solde de l'avance de frais sera restitué à B.________ SA. L'émolument global est fixé à CHF 500.- pour la seconde instance; il sera prélevé sur l'avance effectuée par la société A.________ Sàrl. IV.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