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17 vom 22. März 2019</w:t>
      </w:r>
    </w:p>
    <w:p>
      <w:r>
        <w:t>FR Kantonsgericht, 2019-03-22, FR</w:t>
      </w:r>
    </w:p>
    <w:p>
      <w:r>
        <w:rPr>
          <w:b/>
        </w:rPr>
        <w:t xml:space="preserve">Quelle: </w:t>
      </w:r>
      <w:r>
        <w:t>https://mcp.opencaselaw.ch/entscheid/fr_gerichte_102_2019_17</w:t>
      </w:r>
    </w:p>
    <w:p>
      <w:r>
        <w:t>FR: FR_GERICHTE 102 2019 17 du 22 mars 2019</w:t>
      </w:r>
    </w:p>
    <w:p>
      <w:r>
        <w:t>IT: FR_GERICHTE 102 2019 17 del 22 marzo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61'143.-.</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Par acte du 30 janvier 2019, A.________ a produit plusieurs documents dont un extrait d’audition de police datée du 2 juin 2017. Cette dernière pièce n’ayant pas été produite durant la procédure</w:t>
      </w:r>
    </w:p>
    <w:p>
      <w:r>
        <w:t>Tribunal cantonal TC Page 3 de 4 de première instance, ce nouveau moyen, tardif au regard de l’art. 326 al. 1 CPC, est irrecevable. Il n’en sera dès lors pas tenu compte.</w:t>
      </w:r>
    </w:p>
    <w:p>
      <w:r>
        <w:rPr>
          <w:b/>
        </w:rPr>
        <w:t>E. 2</w:t>
      </w:r>
    </w:p>
    <w:p>
      <w:r>
        <w:t>Le recourant conteste être le débiteur de la somme réclamée. Il expose que le montant de CHF 61'143.- concerne un prêt que B.________ a accordé à la société D.________ SA, dont il était l’administrateur, et non un prêt qu’il aurait obtenu à titre personnel. Il souligne en outre que, non seulement la comptabilité de l’entreprise susmentionnée confirme ses dires, mais l’entier de la somme a été utilisé au désintéressement de créanciers de D.________ SA, de sorte qu’il ne fait aucun doute qu’il n’a pas profité du montant réclamé.</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(cf. ATF 130 III 87 consid. 3.1). Elle peut découler d’un simple écrit ou d’un ensemble de pièces pourvu que les éléments nécessaires en résultent (CR LP-SCHMIDT, 2005, art. 82 n. 18).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(cf.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(cf.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2e éd. 2010, n. 76 p. 110).</w:t>
      </w:r>
    </w:p>
    <w:p>
      <w:r>
        <w:rPr>
          <w:b/>
        </w:rPr>
        <w:t>E. 2.2</w:t>
      </w:r>
    </w:p>
    <w:p>
      <w:r>
        <w:t>En l’espèce, le Président du Tribunal de l’arrondissement de la Broye a admis la requête de mainlevée au motif que B.________ a produit à l’appui de sa requête une reconnaissance de dette signée par A.________ en date du 6 janvier 2017, de laquelle il ressort que ce dernier s’est engagé à rembourser au requérant jusqu’au 30 janvier 2018 la somme de CHF 61'143.- plus intérêt à 5 % l’an dès le 1er mai 2016. Quand bien même le recourant allègue avoir établi la reconnaissance de dette en question au nom de l’entreprise dont il était autrefois l’administrateur, c’est à bon droit que le Président a accordé la mainlevée de l’opposition. En effet, non seulement la reconnaissance de dette signée par le recourant est un titre de mainlevée provisoire au sens de l’art. 82 LP, mais ce dernier ne mentionne pas l’entreprise D.________ SA, ni la qualité d’administrateur du recourant, de sorte que le débiteur désigné dans le titre, à savoir A.________, correspond à l’identité du poursuivi. Au vu de ce qui précède, et étant précisé qu’il n’appartient pas au juge de la mainlevée de statuer sur le bienfondé de la créance, la décision contestée ne peut être que confirmée.</w:t>
      </w:r>
    </w:p>
    <w:p>
      <w:r>
        <w:t>Tribunal cantonal TC Page 4 de 4</w:t>
      </w:r>
    </w:p>
    <w:p>
      <w:r>
        <w:rPr>
          <w:b/>
        </w:rPr>
        <w:t>E. 3</w:t>
      </w:r>
    </w:p>
    <w:p>
      <w:r>
        <w:t>Les frais de la procédure de recours sont mis à la charge de A.________ qui succombe (art. 106 al. 1 CPC). Les frais judiciaires sont fixés forfaitairement à CHF 500.- et seront prélevés sur l’avance de frais effectuée par le recourant (art. 48 et 61 OELP). Les dépens de B.________ sont fixés à CHF 538.50.-, TVA par CHF 38.50 comprise. la Cour arrête : I. Le recours est rejeté. II. Les frais de la procédure de recours sont mis à la charge de A.________. Les frais judiciaires dus à l’Etat sont fixés à CHF 500.- (émolument global). Les dépens de B.________ à charge de A.________ sont fixés à CHF 538.50.-, TVA par CHF 38.50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