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10 vom 22. Februar 2019</w:t>
      </w:r>
    </w:p>
    <w:p>
      <w:r>
        <w:t>FR Kantonsgericht, 2019-02-22, FR</w:t>
      </w:r>
    </w:p>
    <w:p>
      <w:r>
        <w:rPr>
          <w:b/>
        </w:rPr>
        <w:t xml:space="preserve">Quelle: </w:t>
      </w:r>
      <w:r>
        <w:t>https://mcp.opencaselaw.ch/entscheid/fr_gerichte_102_2019_10</w:t>
      </w:r>
    </w:p>
    <w:p>
      <w:r>
        <w:t>FR: FR_GERICHTE 102 2019 10 du 22 février 2019</w:t>
      </w:r>
    </w:p>
    <w:p>
      <w:r>
        <w:t>IT: FR_GERICHTE 102 2019 10 del 22 febbraio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de CHF 9'365.45.</w:t>
      </w:r>
    </w:p>
    <w:p>
      <w:r>
        <w:rPr>
          <w:b/>
        </w:rPr>
        <w:t>E. 2.1</w:t>
      </w:r>
    </w:p>
    <w:p>
      <w:r>
        <w:t>La procédure de mainlevée est une pure procédure d'exécution forcée (ATF 94 I 365 consid. 6 p. 373; 72 II 52 p. 54), un incident de la poursuite. Le créancier qui est au bénéfice d'un jugement exécutoire peut requérir du juge la mainlevée définitive de l'opposition (art. 80 al. 1 LP); sont assimilées à des jugements les décisions des autorités administratives suisses (art. 80 al. 2 ch. 2 LP). Dans la procédure de mainlevée définitive, le juge se limite à examiner le jugement exécutoire ou les titres y assimilés, ainsi que les trois identités – l'identité entre le poursuivant et le créancier désigné dans ce titre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446 s.). Il n'a ni à revoir ni à interpréter le titre qui lui est soumis (ATF 140 III 180 consid. 5.2.1 p. 190; 124 III 501 consid. 3a p. 503). L’examen par le juge de la mainlevée portera notamment d’office sur les trois identités</w:t>
      </w:r>
    </w:p>
    <w:p>
      <w:r>
        <w:t>Tribunal cantonal TC Page 3 de 5 sus-évoquées (CR LP-SCHMID, 2005, art. 82 n° 37 et art. 84 n° 16 s et réf. citées) et sur le caractère exécutoire du titre de mainlevée produit par le créancier (STAEHELIN, in Basler Kommentar SchKG I, 2e éd. 2010, art. 80 n. 9; ATF 38 I 26). Le caractère exécutoire doit résulter du titre produit par le créancier ou d'un document qui s'y réfère (CR LP – SCHMIDT, 2005, art. 80 n. 3; Extraits 1953 97, confirmé récemment par l'arrêt TC FR 102 2016 36 du 13 avril 2016 consid. 2a, destiné à publication et par l’arrêt TC FR 102 2016 102 et 103 du 1er juin 2016 consid. 3). Face à un titre exécutoire, le débiteur peut encore se libérer s’il prouve par titre que la dette a été éteinte ou qu’il a obtenu un sursis, postérieurement au jugement, ou qu’il ne se prévale de la prescription (art. 81 al. 1 in fine LP).</w:t>
      </w:r>
    </w:p>
    <w:p>
      <w:r>
        <w:rPr>
          <w:b/>
        </w:rPr>
        <w:t>E. 2.2</w:t>
      </w:r>
    </w:p>
    <w:p>
      <w:r>
        <w:t>Le recourant allègue qu’il a conclu un arrangement de paiement avec B.________ portant sur la dette en poursuite, de sorte que la mainlevée doit être rejetée. Si effectivement un arrangement de paiement avait été accordé par le créancier le 6 avril 2018, il ressort du courrier du créancier du 6 juin 2018 qu’il a toutefois été d’office annulé, faute de paiement par le débiteur des montants convenus dans le délai. Le recourant n’a produit aucun autre titre prouvant qu’il a obtenu un sursis au sens de l’art. 81 al. 1 LP. Partant, son grief est mal fondé.</w:t>
      </w:r>
    </w:p>
    <w:p>
      <w:r>
        <w:rPr>
          <w:b/>
        </w:rPr>
        <w:t>E. 2.3</w:t>
      </w:r>
    </w:p>
    <w:p>
      <w:r>
        <w:t>B.________ fait valoir le montant de CHF 9'365.45 en poursuite. Il fonde sa réquisition de poursuite sur plusieurs prononcés pénaux, soit le prononcé du 27 juin 2017 du Tribunal d’arrondissement de la Broye et du Nord Vaudois fixant l’indemnité du défenseur d’office de A.________ dans une procédure pénale à CHF 8'085.45, le jugement du 28 juin 2017 du même tribunal mettant les frais de la procédure, par CHF 400.-, à la charge de A.________, et les deux arrêts du 14 septembre 2017 de la Chambre des recours pénale du Tribunal cantonal vaudois mettant les frais de la procédure, respectivement, pour l’un, par CHF 880.-, à la charge des deux recourants à parts égales, soit CHF 440.- à la charge de A.________, et pour l’autre, par CHF 440.-, à la charge de A.________. Tous ces jugements ont été attestés définitifs et exécutoires. La Cour constate cependant d’office que le prononcé du 27 juin 2017 du Tribunal d’arrondissement de la Broye et du Nord Vaudois arrête certes l’indemnité du défenseur d’office de A.________ dans la procédure pénale en question à CHF 8'085.45. Cette indemnité n’a toutefois pas été mise à la charge de A.________, ni dans le prononcé précité, ni dans le jugement du 28 juin 2017 du Tribunal dans cette même cause. Faute de titre condamnant A.________ à payer le montant de CHF 8'085.45, il convient de constater l’absence de titre de mainlevée définitive pour cette créance. Pour le surplus, même si B.________ avait produit un jugement condamnant A.________ à supporter l’indemnité de son défenseur d’office dans la procédure pénale, encore faudrait-il, avant que B.________ puisse en demander le remboursement, qu’il soit établi que la situation financière du prévenu le lui permette (art. 135 al. 4 CPP), ce qui doit être constaté, selon les cantons, par le juge pénal dans une décision ultérieure indépendante (art. 363 ss CPP) ou par une autorité administrative. Le juge de la mainlevée n’est cependant pas compétent pour trancher une telle question. S’agissant des autres montants faisant l’objet de la présente poursuite, soit CHF 400.- et 2 fois CHF 440.-, ils sont fondés sur des jugements condamnatoires exécutoires, valant titre de mainlevée définitive. Faute de preuve par titre du sursis invoqué, ou de toute autre exception au sens de l’art. 81 al. 1 LP, la mainlevée définitive doit être prononcée pour ces montants, soit au total, CHF 1'280.-. Pour le surplus, la requête de mainlevée définitive doit être rejetée.</w:t>
      </w:r>
    </w:p>
    <w:p>
      <w:r>
        <w:t>Tribunal cantonal TC Page 4 de 5 En conséquence, le recours doit être partiellement admis et la décision attaquée réformée en ce sens que la requête de mainlevée définitive de l’opposition formée par A.________ au commandement de payer n° ccc de l’Office des poursuites de la Gruyère est prononcée à concurrence de CHF 1'280.-, plus frais de poursuite.</w:t>
      </w:r>
    </w:p>
    <w:p>
      <w:r>
        <w:rPr>
          <w:b/>
        </w:rPr>
        <w:t>E. 3</w:t>
      </w:r>
    </w:p>
    <w:p>
      <w:r>
        <w:t>Il n’est pas alloué d’équitable indemnité de partie.</w:t>
      </w:r>
    </w:p>
    <w:p>
      <w:r>
        <w:rPr>
          <w:b/>
        </w:rPr>
        <w:t>E. 3.1</w:t>
      </w:r>
    </w:p>
    <w:p>
      <w:r>
        <w:t>En l'espèce, B.________ succombe en majeure partie puisqu'il n'a obtenu gain de cause que pour une faible partie du montant qu'il demandait. Il supportera par conséquent les 3/4 des frais de la procédure de recours. La même répartition sera par ailleurs retenue pour les frais de première instance.</w:t>
      </w:r>
    </w:p>
    <w:p>
      <w:r>
        <w:rPr>
          <w:b/>
        </w:rPr>
        <w:t>E. 3.2</w:t>
      </w:r>
    </w:p>
    <w:p>
      <w:r>
        <w:t>S’agissant des frais judiciaires de la procédure de recours, ils sont fixés à CHF 300.- (émolument forfaitaire; art. 48 et 61 al. 1 OELP). Ils sont mis à la charge de B.________ à raison de 3/4, soit CHF 225.-, et à la charge de A.________ à raison de 1/4, soit CHF 75.-. En ce qui concerne les frais judiciaires de la procédure de première instance, ils ont été fixés à CHF 150.- au total, ce que personne n'a contesté. Ils seront prélevés sur l’avance de frais effectuée par B.________, qui aura droit au remboursement du montant de CHF 37.50 (1/4 de 150) par A.________.</w:t>
      </w:r>
    </w:p>
    <w:p>
      <w:r>
        <w:rPr>
          <w:b/>
        </w:rPr>
        <w:t>E. 3.3</w:t>
      </w:r>
    </w:p>
    <w:p>
      <w:r>
        <w:t>Il n'est pas alloué d’indemnité au recourant, lequel a agi par lui-même et dont le travail effectué n’a pas dépassé ce que l’on peut attendre d’un justiciable dans le cadre de la gestion ordinaire de ses affaires administratives. la Cour arrête : I. Le recours est partiellement admis. Partant, la décision de la Présidente du Tribunal civil de l’arrondissement de la Gruyère du 11 décembre 2018 est réformée et prend désormais la teneur suivante: 1. La requête de mainlevée déposée le 25 octobre 2018 par B.________, est partiellement admise. 2. Partant, la mainlevée définitive de l’opposition formée par A.________ au commandement de payer n°ccc de l’Office des poursuites de la Gruyère notifié le 21 septembre 2018 à l’instance de B.________, est prononcée à concurrence de CHF 1'280.-, plus frais de poursuite.</w:t>
      </w:r>
    </w:p>
    <w:p>
      <w:r>
        <w:rPr>
          <w:b/>
        </w:rPr>
        <w:t>E. 4</w:t>
      </w:r>
    </w:p>
    <w:p>
      <w:r>
        <w:t>Les frais de justice dus à B.________, par CHF 150.-, sont mis à la charge de B.________, à concurrence de 3/4, et de A.________ à concurrence de 1/4. Ils seront</w:t>
      </w:r>
    </w:p>
    <w:p>
      <w:r>
        <w:t>Tribunal cantonal TC Page 5 de 5 prélevés sur l’avance de frais effectuée par B.________, qui a droit au remboursement d’un montant de CHF 37.50 par A.________. II. Les frais de la procédure de recours sont fixés à CHF 300.-. Ils sont mis à la charge de B.________, à concurrence de 3/4, soit CHF 225.-, et de A.________ à concurrence de 1/4, soit CHF 75.-.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février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