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342 vom 11. Januar 2019</w:t>
      </w:r>
    </w:p>
    <w:p>
      <w:r>
        <w:t>FR Kantonsgericht, 2019-01-11, FR</w:t>
      </w:r>
    </w:p>
    <w:p>
      <w:r>
        <w:rPr>
          <w:b/>
        </w:rPr>
        <w:t xml:space="preserve">Quelle: </w:t>
      </w:r>
      <w:r>
        <w:t>https://mcp.opencaselaw.ch/entscheid/fr_gerichte_102_2018_342</w:t>
      </w:r>
    </w:p>
    <w:p>
      <w:r>
        <w:t>FR: FR_GERICHTE 102 2018 342 du 11 janvier 2019</w:t>
      </w:r>
    </w:p>
    <w:p>
      <w:r>
        <w:t>IT: FR_GERICHTE 102 2018 342 del 11 gennaio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132.-.</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une série de pièces dont un bulletin qu’elle a émis le 1er mai 2018, portant sur la livraison d’une marchandise (fonostop) à la société B.________ Sàrl. Cette pièce n’a pas été produite durant la procédure de première instance. Ce nouveau moyen, tardif au regard de l’art. 326 al. 1 CPC, est ainsi irrecevable. Il n’en sera dès lors pas tenu compte et la Cour statuera sur la base des allégués et des pièces produites en première instance, ce qui</w:t>
      </w:r>
    </w:p>
    <w:p>
      <w:r>
        <w:t>Tribunal cantonal TC Page 3 de 4 ne change quoi qu’il en soit pas l’issue du litige dans la mesure où cette pièce ne constitue pas une reconnaissance de dette dès lors que le montant litigieux n’y figure pas.</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signé par le poursuivi – ou son représentant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(STOFFEL/CHABLOZ, Voies d’exécution, 3ème éd., 2016, n. 116 à 120 ; GILLIÉRON, Poursuite pour dettes, faillite et concordat, 4ème éd., 2005, n. 776 p. 155). Une reconnaissance de dette peut aussi découler du rapprochement de plusieurs pièces, pour autant que les éléments nécessaires en résultent (ABBET/VEUILLET, La mainlevée de l’opposition, 2017, n. 27 p. 116). Cela signifie que le document signé doit clairement et directement faire référence, respectivement renvoyer, aux documents qui mentionnent le montant de la dette ou permettent de le chiffrer (ATF 139 III 297 consid. 2.3.1; 132 III 480 consid. 4.1). La reconnaissance de dette implique l’indication de la somme reconnue et la signature du débiteur ; s’il y a plusieurs pièces, la signature du débiteur doit figurer sur la pièce qui a un caractère décisif (ABBET/VEUILLET, n. 27 p. 116). Dans tous les cas, pour constituer un titre de mainlevée, la reconnaissance de dette doit être signée par le débiteur ou son représentant, à moins qu'elle ne soit contenue dans un acte authentique (CR LP-SCHMIDT, 2005, art. 82 LP, n. 19).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p. 141 et 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w:t>
      </w:r>
    </w:p>
    <w:p>
      <w:r>
        <w:rPr>
          <w:b/>
        </w:rPr>
        <w:t>E. 2.2</w:t>
      </w:r>
    </w:p>
    <w:p>
      <w:r>
        <w:t>En l’espèce, la Présidente a rejeté la requête de mainlevée en raison de l’absence d’une reconnaissance de dettes, la facture n. eee du 2 mai 2018 établie et produite par la requérante n’étant pas signée par l’opposante. Cette décision ne peut qu’être confirmée. En effet, cette facture ne comporte pas la signature de l’intimée et la recourante n’a produit aucune autre pièce dans laquelle l’intimée reconnaît être débitrice de la somme réclamée ; elle n’est donc pas au bénéfice d’un titre de mainlevée provisoire au sens de l’art. 82 LP. De même, elle ne dispose pas non plus d’un jugement exécutoire permettant d’obtenir la mainlevée définitive de l’opposition au sens de l’art. 80 al. 1 LP. Partant, c’est à bon droit que la Présidente a rejeté la requête de mainlevée introduite par la créancière et le recours, manifestement mal fondé, doit être rejeté. Pour faire reconnaître son droit,</w:t>
      </w:r>
    </w:p>
    <w:p>
      <w:r>
        <w:t>Tribunal cantonal TC Page 4 de 4 la société A.________ SA aurait dû introduire à l'encontre de l'intimée une action en reconnaissance de dette au sens de l'art. 79 al. 1 LP.</w:t>
      </w:r>
    </w:p>
    <w:p>
      <w:r>
        <w:rPr>
          <w:b/>
        </w:rPr>
        <w:t>E. 3</w:t>
      </w:r>
    </w:p>
    <w:p>
      <w:r>
        <w:t>Les frais de la procédure de recours sont mis à la charge de la recourante, qui succombe (art. 106 al. 1 CPC).</w:t>
      </w:r>
    </w:p>
    <w:p>
      <w:r>
        <w:rPr>
          <w:b/>
        </w:rPr>
        <w:t>E. 3.1</w:t>
      </w:r>
    </w:p>
    <w:p>
      <w:r>
        <w:t>Ils comprennent les frais judiciaires – fixés forfaitairement à CHF 50.- (art. 48 et 61 al. 1 OELP).</w:t>
      </w:r>
    </w:p>
    <w:p>
      <w:r>
        <w:rPr>
          <w:b/>
        </w:rPr>
        <w:t>E. 3.2</w:t>
      </w:r>
    </w:p>
    <w:p>
      <w:r>
        <w:t>Il n'est pas alloué de dépens à l'intimée qui n'a pas été invitée à déposer une réponse conformément au prescrit de l'art. 322 al. 1 CPC. la Cour arrête : I. Le recours est rejeté. II. Les frais de la procédure de recours sont mis à la charge de A.________ SA. Les frais judiciaires sont fixés à CHF 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