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327 vom 16. Januar 2019</w:t>
      </w:r>
    </w:p>
    <w:p>
      <w:r>
        <w:t>FR Kantonsgericht, 2019-01-16, FR</w:t>
      </w:r>
    </w:p>
    <w:p>
      <w:r>
        <w:rPr>
          <w:b/>
        </w:rPr>
        <w:t xml:space="preserve">Quelle: </w:t>
      </w:r>
      <w:r>
        <w:t>https://mcp.opencaselaw.ch/entscheid/fr_gerichte_102_2018_327</w:t>
      </w:r>
    </w:p>
    <w:p>
      <w:r>
        <w:t>FR: FR_GERICHTE 102 2018 327 du 16 janvier 2019</w:t>
      </w:r>
    </w:p>
    <w:p>
      <w:r>
        <w:t>IT: FR_GERICHTE 102 2018 327 del 16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Il en va de même contre une décision refusant l’assistance judiciaire en application des art. 121 et 319 CPC. La procédure sommaire étant applicable à la procédure de mainlevée d’opposition et d’assistance judiciaire (art. 251 let. a et 119 al. 3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inférieure à CHF 30'000.- (cf. art. 51 al. 1 let. a art. 74 al. 1 let. b LTF).</w:t>
      </w:r>
    </w:p>
    <w:p>
      <w:r>
        <w:t>Tribunal cantonal TC Page 3 de 5</w:t>
      </w:r>
    </w:p>
    <w:p>
      <w:r>
        <w:rPr>
          <w:b/>
        </w:rPr>
        <w:t>E. 2.1</w:t>
      </w:r>
    </w:p>
    <w:p>
      <w:r>
        <w:t>Le recourant soutient que le titre de mainlevée produit, soit la décision d’acomptes de cotisations pour les personnes exerçant une activité lucrative indépendante pour l’année 2018 du 26 janvier 2018 ainsi que la sommation du 20 juillet 2018 relative aux cotisations AVS/AI/APG pour la période du 1er avril 2018 au 30 juin 2018, ne lui ont jamais été notifiées et que B.________ n’apporte aucune preuve que tel a effectivement été le cas de sorte que le Président ne pouvait considérer que ces actes ont valablement été notifiés et qu’ils sont exécutoires. Il aurait donc dû rejeter la requête de mainlevée.</w:t>
      </w:r>
    </w:p>
    <w:p>
      <w:r>
        <w:rPr>
          <w:b/>
        </w:rPr>
        <w:t>E. 2.2</w:t>
      </w:r>
    </w:p>
    <w:p>
      <w:r>
        <w:t>B.________ conteste les arguments du recourant. Elle allègue que les décisions administratives litigieuses font partie de l’administration de masse et qu’elles ont été notifiées au recourant sous pli simple, comme les autres décisions qu’elle lui a envoyées et qu’il ne conteste pas avoir reçues. Aussi, selon le principe du degré de vraisemblance prépondérante, applicable dans le cadre d’une administration de masse, il apparaît fortement vraisemblable que A.________ ait été en mesure de prendre connaissance de la décision d’acomptes de cotisations du 26 janvier 2018 ainsi que de la décision de sommation du 20 juillet 2018, de sorte que dites décisions sont réputées valablement notifiées.</w:t>
      </w:r>
    </w:p>
    <w:p>
      <w:r>
        <w:rPr>
          <w:b/>
        </w:rPr>
        <w:t>E. 2.3</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(HANSJÖRG,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en revanche que l’administré puisse voir, sans doute possible, dans la notification qui lui est faite, une décision entrant en force, faute d’opposition ou de recours (arrêt TF 5P.350/2006 du 16 novembre 2006 consid. 3.1). En particulier, l’administré doit voir son attention attirée sur les voies de recours ouvertes contre la décision condamnatoire lors de la communication de cette dernière. A cette condition, la sommation de payer peut être considérée comme une décision (arrêt TF 5P.114/2002 du 1er mai 2002 consid. 1c).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ainsi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w:t>
      </w:r>
    </w:p>
    <w:p>
      <w:r>
        <w:t>Tribunal cantonal TC Page 4 de 5 l’administration qui entend en tirer une conséquence juridique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124 V 400 consid. 2a ; ATF 136 V 295 consid. 5 et les références citées ; ATF 105 III 43 / JdT 1980 II 117 consid. 2a). En ce qui concerne plus particulièrement la notification d’une décision ou d’une communication de l’administration, elle doit au moins être établie au degré de la vraisemblance prépondérante requis en matière d’assurance sociale (ATF 121 V 5 consid. 3b). En effet, la preuve de la notification peut aussi être rapportée sur la base d’autres indices – autres que la notification sous pli recommandé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 JdT 1980 II 117 consid. 3 ; arrêt TF 5D_173/2008 du 20 février 2009 consid. 5.1).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w:t>
      </w:r>
    </w:p>
    <w:p>
      <w:r>
        <w:rPr>
          <w:b/>
        </w:rPr>
        <w:t>E. 2.4</w:t>
      </w:r>
    </w:p>
    <w:p>
      <w:r>
        <w:t>En l’occurrence, B.________ n’a pas produit la preuve de la notification effective de la décision d’acomptes de cotisations pour les personnes exerçant une activité lucrative indépendante pour l’année 2018 du 26 janvier 2018 ainsi que de la sommation du 20 juillet 2018 relative aux cotisations AVS/AI/APG pour la période du 1er avril 2018 au 30 juin 2018, qu’elle a communiquées au recourant. Elle a d’ailleurs reconnu que les documents en question ont été expédiés sous pli simple (cf. courrier du 7 janvier 2019, p. 2 et 3). Une communication par pli simple est conforme aux art. 34 al. 1 et 68 al. 1 du code du 23 mai 1991 de procédure et de juridiction administrative (CPJA ; RSF 150.1) mais ne suffit pas à prouver la notification. Pour le surplus, le simple fait que A.________ ne conteste pas avoir reçu les autres décisions que lui a adressées B.________ ne permet pas d’établir, à tout le moins avec la vraisemblance prépondérante exigée par la jurisprudence, que les deux décisions litigieuses lui ont bien été notifiées. Partant, il y a lieu de se fonder sur les déclarations du recourant. C’est donc à tort que le premier juge a prononcé la mainlevée définitive de l’opposition dès lors que les décisions administratives produites ne valent pas titres de mainlevée définitive au sens de l’art. 80 LP, faute de notification régulière. Il s’ensuit l’admission du recours.</w:t>
      </w:r>
    </w:p>
    <w:p>
      <w:r>
        <w:rPr>
          <w:b/>
        </w:rPr>
        <w:t>E. 3.1</w:t>
      </w:r>
    </w:p>
    <w:p>
      <w:r>
        <w:t>Le recours ayant en l’espèce un effet réformatoire, la Cour doit se prononcer également sur les frais de première instance (art. 318 al. 3 CPC par analogie). Le montant de CHF 90.- fixé par le premier juge n’a pas été remis en cause; ces frais seront mis à la charge de B.________ (art. 106 al. 1 CPC) et seront prélevés sur l’avance de frais qu’elle a effectuée.</w:t>
      </w:r>
    </w:p>
    <w:p>
      <w:r>
        <w:rPr>
          <w:b/>
        </w:rPr>
        <w:t>E. 3.2</w:t>
      </w:r>
    </w:p>
    <w:p>
      <w:r>
        <w:t>Les frais de la procédure de recours sont mis à la charge de B.________, qui succombe (art. 106 al. 1 CPC). Ils comprennent les frais judiciaires, fixés forfaitairement à CHF 100.- (art. 48 OELP).</w:t>
      </w:r>
    </w:p>
    <w:p>
      <w:r>
        <w:t>Tribunal cantonal TC Page 5 de 5</w:t>
      </w:r>
    </w:p>
    <w:p>
      <w:r>
        <w:rPr>
          <w:b/>
        </w:rPr>
        <w:t>E. 3.3</w:t>
      </w:r>
    </w:p>
    <w:p>
      <w:r>
        <w:t>Il n'est pas alloué de dépens au recourant, lequel a agi par lui-même et dont le travail effectué n’a pas dépassé ce que l’on peut attendre d’un justiciable dans le cadre de la gestion ordinaire de ses affaires administratives.</w:t>
      </w:r>
    </w:p>
    <w:p>
      <w:r>
        <w:rPr>
          <w:b/>
        </w:rPr>
        <w:t>E. 4</w:t>
      </w:r>
    </w:p>
    <w:p>
      <w:r>
        <w:t>Compte tenu de l’issue du recours et en particulier du fait que les frais judiciaires de première et seconde instances ont été mis à la charge de B.________, le recours contre la décision de refus d’assistance judiciaire du 6 décembre 2018 et la requête d’assistance judiciaire pour la procédure de recours sont sans objet.</w:t>
      </w:r>
    </w:p>
    <w:p>
      <w:r>
        <w:rPr>
          <w:b/>
        </w:rPr>
        <w:t>E. 5</w:t>
      </w:r>
    </w:p>
    <w:p>
      <w:r>
        <w:t>La requête d’effet suspensif est également sans objet, la Cour ayant directement statué sur le recours au fond. la Cour arrête : I. Le recours contre la décision de mainlevée définitive rendue par le Président du Tribunal civil de l'arrondissement de la Sarine le 6 décembre 2018 est admis. Partant, cette décision est réformée et prend la teneur suivante: 1. La requête de mainlevée définitive de l’opposition formée par A.________ au commandement de payer no ccc de l’Office des poursuites de la Sarine à l’instance de B.________ est rejetée. 2. Il n’est pas alloué d’équitable indemnité. 3. Un émolument de CHF 90.- est mis à la charge de B.________ et prélevé sur l’avance de frais qu’elle a effectuée. II. Les frais de la procédure de recours contre la décision de mainlevée définitive du</w:t>
      </w:r>
    </w:p>
    <w:p>
      <w:r>
        <w:rPr>
          <w:b/>
        </w:rPr>
        <w:t>E. 6</w:t>
      </w:r>
    </w:p>
    <w:p>
      <w:r>
        <w:t>décembre 2018, par CHF 100.-, sont mis à la charge de B.________. III. Il n’est pas alloué de dépens. IV. Le recours contre la décision de refus d’assistance judiciaire rendue par le Président du Tribunal civil de l'arrondissement de la Sarine le 6 décembre 2018 et la requête d’assistance judiciaire pour la procédure de recours sont sans objet. V. La requête d’effet suspensif du 17 décembre 2018 est sans objet.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