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295 vom 3. Januar 2019</w:t>
      </w:r>
    </w:p>
    <w:p>
      <w:r>
        <w:t>FR Kantonsgericht, 2019-01-03, DE</w:t>
      </w:r>
    </w:p>
    <w:p>
      <w:r>
        <w:rPr>
          <w:b/>
        </w:rPr>
        <w:t xml:space="preserve">Quelle: </w:t>
      </w:r>
      <w:r>
        <w:t>https://mcp.opencaselaw.ch/entscheid/fr_gerichte_102_2018_295</w:t>
      </w:r>
    </w:p>
    <w:p>
      <w:r>
        <w:t>FR: FR_GERICHTE 102 2018 295 du 3 janvier 2019</w:t>
      </w:r>
    </w:p>
    <w:p>
      <w:r>
        <w:t>IT: FR_GERICHTE 102 2018 295 del 3 gennaio 2019</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à la recourante le 30 octobre 2018; interjeté le 9 novembre 2018, le recours l’a été en temps utile.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des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Tribunal cantonal TC Page 3 de 4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arrêt TC FR du 8 juin 2001 in RFJ 2001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Le 8 novembre 2018, soit dans le délai de recours, la recourante a déposé auprès du Tribunal cantonal, à l’intention de la créancière, un montant de CHF 5'000.-, soit plus que la totalité du montant à rembourser (CHF 3'690.50). La première condition cumulative de l'art. 174 al. 2 LP est ainsi réalisée.</w:t>
      </w:r>
    </w:p>
    <w:p>
      <w:r>
        <w:rPr>
          <w:b/>
        </w:rPr>
        <w:t>E. 2.3</w:t>
      </w:r>
    </w:p>
    <w:p>
      <w:r>
        <w:t>S'agissant de sa solvabilité, la société A.________ GmbH a réglé auprès de l'Office des poursuites du Lac l'ensemble de ses dettes en poursuite (cf. extrait du registre des poursuites du</w:t>
      </w:r>
    </w:p>
    <w:p>
      <w:r>
        <w:rPr>
          <w:b/>
        </w:rPr>
        <w:t>E. 5</w:t>
      </w:r>
    </w:p>
    <w:p>
      <w:r>
        <w:t>novembre 2018, pièce 15 du bordereau de la recourante du 9 novembre 2018). Il y a également lieu de constater que la recourante continue de déployer ses activités consistant en des travaux de réparation sur des véhicules ainsi que de transport, principalement pour le compte de la société D.________ SA (cf. courriel de E.________ pour D.________ SA du 7 novembre 2018, pièce 12 du bordereau de la recourante du 9 novembre 2018). Par ailleurs, elle est propriétaire de l'immeuble art. 439 RF de la commune de F.________ comprenant un local industriel et un appartement, dispose d'un stock de matériel composé d'un inventaire de garage pour automobiles et camions, de diverses machines, d'un outillage adapté ainsi que de deux véhicules (cf. procès- verbal de l'Office cantonal des faillites du 31 octobre 2018, pièce 13 du bordereau de la recourante du 9 novembre 2018 et clôture annuelle des comptes 2016 de la société, pièce 14 du bordereau de la recourante du 9 novembre 2018). Ses liquidités s'élèvent à CHF 3'763.46, elle est titulaire de plusieurs créances pour un montant de CHF 18'500.- (cf. procès-verbal de l'Office cantonal des faillites du 31 octobre 2018, pièce 13 du bordereau de la recourante du 9 novembre 2018). Par surabondance de motifs, il semble que la recourante n'ait pas été citée régulièrement à l'audience de faillite, la fiction de la notification de la citation ne s'appliquant pas en pareil cas (ATF 138 III 225). Compte tenu de ce qui précède, il y a lieu d’admettre que la recourante a rendu sa solvabilité vraisemblable, de sorte que la deuxième condition cumulative est satisfaite. Partant, le recours doit être admis et la faillite annulée. Tribunal cantonal TC Page 4 de 4 Sur la somme de CHF 5'000.- consignée auprès du greffe du Tribunal cantonal, un montant de CHF 3'690.50 sera versé à B.________, le solde étant restitué à A.________ GmbH dès l'entrée en force du présent arrêt. 3. 3.1. Malgré l’admission du recours, les frais de la première et de la seconde instances sont mis à la charge de la société A.________ GmbH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27 novembre 2018. Pour la première instance, le montant de CHF 200.-, non contesté, est confirmé. 3.2. Il n’est pas alloué de dépens à B.________ qui ne s’est pas déterminée sur le recours. la Cour arrête: I. Le recours est admis. Partant, la décision de la Présidente du Tribunal civil de l'arrondissement du Lac du 29 octobre 2018 prononçant la faillite de la société A.________ GmbH est annulée. II. Les frais de procédure des deux instances sont mis à la charge de la société A.________ GmbH. Pour la première instance, les frais judiciaires sont fixés à CHF 200.-. Pour la seconde instance, l'émolument global est fixé à CHF 500.-. Il sera prélevé sur l'avance effectuée par A.________ GmbH. Il n’est pas alloué de dépens à B.________. III. Sur la somme de CHF 5'000.- consignée auprès du greffe du Tribunal cantonal, un montant de CHF 3'690.50 sera versé à B.________, le solde étant restitué à A.________ GmbH, dès l'entrée en force du présent arrêt.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janvier 2019/ege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