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294 vom 3. Januar 2019</w:t>
      </w:r>
    </w:p>
    <w:p>
      <w:r>
        <w:t>FR Kantonsgericht, 2019-01-03, FR</w:t>
      </w:r>
    </w:p>
    <w:p>
      <w:r>
        <w:rPr>
          <w:b/>
        </w:rPr>
        <w:t xml:space="preserve">Quelle: </w:t>
      </w:r>
      <w:r>
        <w:t>https://mcp.opencaselaw.ch/entscheid/fr_gerichte_102_2018_294</w:t>
      </w:r>
    </w:p>
    <w:p>
      <w:r>
        <w:t>FR: FR_GERICHTE 102 2018 294 du 3 janvier 2019</w:t>
      </w:r>
    </w:p>
    <w:p>
      <w:r>
        <w:t>IT: FR_GERICHTE 102 2018 294 del 3 gennaio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au Tribunal cantonal est ouverte (art. 319 let. a CPC), l’appel n’étant pas recevable contre une décision de mainlevée (art. 309 let. b ch. 3 CPC). La procédure de mainlevée étant sommaire (art. 251 let. a CPC), le recours doit être déposé dans les dix jours à compter de la notification de la décision (art. 321 al. 2 CPC).</w:t>
      </w:r>
    </w:p>
    <w:p>
      <w:r>
        <w:rPr>
          <w:b/>
        </w:rPr>
        <w:t>E. 1.2</w:t>
      </w:r>
    </w:p>
    <w:p>
      <w:r>
        <w:t>En l’espèce, la décision querellée a été notifiée le 5 novembre 2018 au recourant. Interjeté le 9 novembre 2018, le recours a été déposé en temps utile.</w:t>
      </w:r>
    </w:p>
    <w:p>
      <w:r>
        <w:rPr>
          <w:b/>
        </w:rPr>
        <w:t>E. 1.3</w:t>
      </w:r>
    </w:p>
    <w:p>
      <w:r>
        <w:t>En application de l’art. 327 al. 2 CPC, la Cour d’appel peut statuer sur pièces, sans tenir audience.</w:t>
      </w:r>
    </w:p>
    <w:p>
      <w:r>
        <w:rPr>
          <w:b/>
        </w:rPr>
        <w:t>E. 1.4</w:t>
      </w:r>
    </w:p>
    <w:p>
      <w:r>
        <w:t>La cognition de la Cour d’appel est pleine et entière en droit; s’agissant des faits, elle est limitée à leur constatation manifestement inexacte (art. 320 CPC).</w:t>
      </w:r>
    </w:p>
    <w:p>
      <w:r>
        <w:rPr>
          <w:b/>
        </w:rPr>
        <w:t>E. 1.5</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w:t>
      </w:r>
    </w:p>
    <w:p>
      <w:r>
        <w:rPr>
          <w:b/>
        </w:rPr>
        <w:t>E. 1.6</w:t>
      </w:r>
    </w:p>
    <w:p>
      <w:r>
        <w:t>La valeur litigieuse est de CHF 1'226.65.</w:t>
      </w:r>
    </w:p>
    <w:p>
      <w:r>
        <w:rPr>
          <w:b/>
        </w:rPr>
        <w:t>E. 2</w:t>
      </w:r>
    </w:p>
    <w:p>
      <w:r>
        <w:t>Tribunal cantonal TC Page 3 de 5</w:t>
      </w:r>
    </w:p>
    <w:p>
      <w:r>
        <w:rPr>
          <w:b/>
        </w:rPr>
        <w:t>E. 2.1</w:t>
      </w:r>
    </w:p>
    <w:p>
      <w:r>
        <w:t>Le recourant critique l'absence de détermination de l'intimée. Il soutient par ailleurs que le contrat de bail du 20 avril 2017, signé par les parties et produit à l'appui de sa requête de mainlevée répond aux conditions posées par l'art. 82 al. 1 LP à la reconnaissance de dette et vaut titre de mainlevée. Le verso de ce document prévoit en effet clairement que l'avis de fixation de loyer fait partie intégrante du contrat. Dès lors, le fait de ne pas avoir joint la formule officielle à la requête de mainlevée ne saurait rendre caduque la validité du contrat de bail valant reconnaissance de dette.</w:t>
      </w:r>
    </w:p>
    <w:p>
      <w:r>
        <w:rPr>
          <w:b/>
        </w:rPr>
        <w:t>E. 2.2</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132 III 480 consid. 4.1).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(ATF 132 III 140 consid. 4.1.1; 58 I 363 consid. 2).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Un contrat écrit justifie en principe la mainlevée provisoire de l'opposition pour la somme d'argent incombant au poursuivi si les conditions d'exigibilité de la dette sont établies. Le contrat de bail constitue une reconnaissance de dette pour le loyer et le fermage échus et pour le droit de rétention, si l'objet du contrat a été mis à la disposition du locataire et n'est pas entaché de défauts tels que l'usage s'en trouve affecté. La conclusion d'un bail à loyer est en principe valable sans forme, à l'exception des dispositions relatives à la protection contre les loyers abusifs ou d'autres prétentions abusives du bailleur des art. 269d et 270 al. 2 CO, selon lesquelles l'usage de la formule officielle peut être rendu obligatoire par les cantons qui subissent une pénurie de logements. Le canton de Fribourg a fait usage de cette possibilité pour les baux d'habitations sises sur son territoire et le Conseil d'Etat a rendu obligatoire cette formule (art. 27 de la loi du 9 mai 1996 d'application relative au bail à loyer et au bail à ferme non agricole [LABLF; RSF 222.3.1] et ordonnance du 26 novembre 2002 concernant l'usage de la formule officielle pour la conclusion d'un nouveau bail à loyer [RSF 222.3.12]). Lorsque le bailleur ne fait pas usage de la formule officielle prescrite par l'art. 270 al. 2 CO, ce vice de forme implique la nullité partielle du contrat de bail, sous l'angle de la fixation du montant du loyer (ATF 140 III 583), lequel doit être déterminé par le juge du fond (ATF 124 III 62). Le juge de la mainlevée n'est pas compétent pour procéder à une telle appréciation. Partant, dans les cantons où le loyer initial doit obligatoirement être notifié au moyen d'une formule officielle, le bailleur doit produire cette formule, faute de quoi le contrat de bail ne constitue pas un titre de mainlevée valable (arrêt TC VD KC13.04883 du 30 juin 2014 consid. II. a et b; TRÜMPY Johanna, La mainlevée d'opposition provisoire en droit du bail – Le titre,</w:t>
      </w:r>
    </w:p>
    <w:p>
      <w:r>
        <w:t>Tribunal cantonal TC Page 4 de 5 les exceptions, et la nouvelle procédure civile, BlSchK 2010 p. 106 s.; HACK Pierre, Formalisme et durée: quelques développements récents en droit du bail in: JdT 2007 II 4, supplément hors édition p. 5 al. 1 in fine).</w:t>
      </w:r>
    </w:p>
    <w:p>
      <w:r>
        <w:rPr>
          <w:b/>
        </w:rPr>
        <w:t>E. 2.3</w:t>
      </w:r>
    </w:p>
    <w:p>
      <w:r>
        <w:t>Le fait que l'intimée ne se soit pas déterminée en l'espèce ne dispensait pas le recourant de produire un titre de mainlevée valable à l'appui de sa requête. Celle-ci était en effet uniquement fondée sur le contrat de bail à loyer conclu le 20 avril 2017. L'immeuble loué se trouvant sur le territoire du canton de Fribourg, l'usage de la formule officielle prévue à l'art. 270 al. 2 CO est obligatoire. Le recourant n'a produit cette formule qu'en instance de recours, soit tardivement selon l'art. 326 al. 1 CPC (cf. consid. 1.5. ci-dessus). Par conséquent, le contrat de bail produit par le recourant ne constitue pas, à lui seul, un titre de mainlevée, peu importe la mention selon laquelle l'avis de fixation de loyer fait partie intégrante du contrat. Pour ce motif, c'est à juste titre que le premier juge a refusé la mainlevée provisoire. Il s'ensuit le rejet du recours.</w:t>
      </w:r>
    </w:p>
    <w:p>
      <w:r>
        <w:rPr>
          <w:b/>
        </w:rPr>
        <w:t>E. 3.1</w:t>
      </w:r>
    </w:p>
    <w:p>
      <w:r>
        <w:t>Les frais judiciaires de recours doivent être mis à la charge du recourant, qui succombe (art. 106 al. 1 CPC). Ils comprennent les frais judiciaires, fixés forfaitairement à CHF 150.- (art. 48 et 61 al. 1 OELP). Ils seront prélevés sur l'avance de frais effectuée.</w:t>
      </w:r>
    </w:p>
    <w:p>
      <w:r>
        <w:rPr>
          <w:b/>
        </w:rPr>
        <w:t>E. 3.2</w:t>
      </w:r>
    </w:p>
    <w:p>
      <w:r>
        <w:t>Il n’est pas alloué d'indemnité à titre de dépens à l'intimée qui ne s'est pas déterminée sur le recours. (dispositif en page suivante)</w:t>
      </w:r>
    </w:p>
    <w:p>
      <w:r>
        <w:t>Tribunal cantonal TC Page 5 de 5 la Cour arrête : I. Le recours du 9 novembre 2018 interjeté contre la décision de la Présidente du Tribunal civil d'arrondissement de la Sarine du 29 octobre 2018 est rejeté. II. Les frais de la procédure de recours sont mis à la charge de A.________. Les frais judiciaires dus à l'Etat, fixés forfaitairement à CHF 150.-, sont prélevés sur l'avance de frais effectuée par A.________.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janvier 2019/ege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