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269 vom 11. Dezember 2018</w:t>
      </w:r>
    </w:p>
    <w:p>
      <w:r>
        <w:t>FR Kantonsgericht, 2018-12-11, FR</w:t>
      </w:r>
    </w:p>
    <w:p>
      <w:r>
        <w:rPr>
          <w:b/>
        </w:rPr>
        <w:t xml:space="preserve">Quelle: </w:t>
      </w:r>
      <w:r>
        <w:t>https://mcp.opencaselaw.ch/entscheid/fr_gerichte_102_2018_269</w:t>
      </w:r>
    </w:p>
    <w:p>
      <w:r>
        <w:t>FR: FR_GERICHTE 102 2018 269 du 11 décembre 2018</w:t>
      </w:r>
    </w:p>
    <w:p>
      <w:r>
        <w:t>IT: FR_GERICHTE 102 2018 269 del 11 dicembre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à la recourante le 24 septembre 2018; interjeté le 3 octobre 2018, le recours l’a été en temps utile.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w:t>
      </w:r>
    </w:p>
    <w:p>
      <w:r>
        <w:t>Tribunal cantonal TC Page 3 de 5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arrêt TC FR du 8 juin 2001 in RFJ 2001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Le 3 octobre 2018, soit dans le délai de recours, la recourante a déposé auprès du Tribunal Cantonal, à l’intention de la créancière, d'un montant de CHF 15'000.-, soit plus que la totalité du montant à rembourser (CHF 6'106.25). La première condition cumulative de l'art. 174 al. 2 LP est ainsi réalisée.</w:t>
      </w:r>
    </w:p>
    <w:p>
      <w:r>
        <w:rPr>
          <w:b/>
        </w:rPr>
        <w:t>E. 2.3</w:t>
      </w:r>
    </w:p>
    <w:p>
      <w:r>
        <w:t>S'agissant de sa solvabilité, si la société A.________ Sàrl n’a pas d’actes de défaut de biens, elle a encore d’autres poursuites pendantes à son encontre se chiffrant au total à CHF 7'782.40 (cf. extrait du registre des poursuites du 28 septembre 2018, pièce 4 du bordereau de la recourante du 3 octobre 2018). Il y a cependant lieu de constater que les factures de primes échues au 30 septembre 2018, par CHF 1'952.10, ont été réglées auprès de la SUVA (cf. courrier de la SUVA du 24 septembre 2018, pièce 5 du bordereau de la recourante du 3 octobre 2018), ce qui diminue d’autant les montants en poursuite. Par ailleurs, le solde du montant consigné auprès du Tribunal cantonal à l’intention des créanciers couvre le solde des poursuites ouvertes. Ce montant sera transféré à l’Office des poursuites de la Gruyère, lequel effectuera les décomptes nécessaires. Compte tenu de ce qui précède, il y a lieu d’admettre que la recourante a rendu sa solvabilité vraisemblable, de sorte que la deuxième condition cumulative est satisfaite. Partant, le recours doit être admis et la faillite annulée.</w:t>
      </w:r>
    </w:p>
    <w:p>
      <w:r>
        <w:t>Tribunal cantonal TC Page 4 de 5</w:t>
      </w:r>
    </w:p>
    <w:p>
      <w:r>
        <w:rPr>
          <w:b/>
        </w:rPr>
        <w:t>E. 3.1</w:t>
      </w:r>
    </w:p>
    <w:p>
      <w:r>
        <w:t>Malgré l’admission du recours, les frais de la première et de la seconde instance sont mis à la charge de la société A.________ Sàrl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18 octobre 2018. Pour la première instance, le montant de CHF 100.-, non contesté, est confirmé.</w:t>
      </w:r>
    </w:p>
    <w:p>
      <w:r>
        <w:rPr>
          <w:b/>
        </w:rPr>
        <w:t>E. 3.2</w:t>
      </w:r>
    </w:p>
    <w:p>
      <w:r>
        <w:t>Il n’est pas alloué de dépens à B.________ qui ne s’est pas déterminée sur le recours. (dispositif en page suivante)</w:t>
      </w:r>
    </w:p>
    <w:p>
      <w:r>
        <w:t>Tribunal cantonal TC Page 5 de 5 la Cour arrête : I. Le recours est admis. Partant, la décision du Président du Tribunal civil de l'arrondissement de la Gruyère du 17 septembre 2018 prononçant la faillite de la société A.________ Sàrl est annulée. II. Les frais de procédure des deux instances sont mis à la charge de la société A.________ Sàrl. Pour la première instance, les frais judiciaires sont fixés à CHF 100.-. Pour la seconde instance, l'émolument global est fixé à CHF 500.-. Il sera prélevé sur l'avance effectuée par A.________ Sàrl. Il n’est pas alloué de dépens à B.________. III. Le montant de CHF 15'000.- consigné auprès du greffe du Tribunal cantonal sera versé dès l'entrée en force du présent arrêt à l’Office des poursuites de la Gruyère, lequel est chargé d’effectuer les décomptes nécessaires.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décembre 2018/ege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