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247 vom 4. Oktober 2018</w:t>
      </w:r>
    </w:p>
    <w:p>
      <w:r>
        <w:t>FR Kantonsgericht, 2018-10-04, FR</w:t>
      </w:r>
    </w:p>
    <w:p>
      <w:r>
        <w:rPr>
          <w:b/>
        </w:rPr>
        <w:t xml:space="preserve">Quelle: </w:t>
      </w:r>
      <w:r>
        <w:t>https://mcp.opencaselaw.ch/entscheid/fr_gerichte_102_2018_247</w:t>
      </w:r>
    </w:p>
    <w:p>
      <w:r>
        <w:t>FR: FR_GERICHTE 102 2018 247 du 4 octobre 2018</w:t>
      </w:r>
    </w:p>
    <w:p>
      <w:r>
        <w:t>IT: FR_GERICHTE 102 2018 247 del 4 ottobre 2018</w:t>
      </w:r>
    </w:p>
    <w:p>
      <w:pPr>
        <w:pStyle w:val="Heading2"/>
      </w:pPr>
      <w:r>
        <w:t>Regeste</w:t>
      </w:r>
    </w:p>
    <w:p>
      <w:r>
        <w:t>Arrêt de la IIe Cour d'appel civil du Tribunal cantonal | Rechtsöffnung</w:t>
      </w:r>
    </w:p>
    <w:p>
      <w:pPr>
        <w:pStyle w:val="Heading2"/>
      </w:pPr>
      <w:r>
        <w:t>Erwägungen</w:t>
      </w:r>
    </w:p>
    <w:p>
      <w:r>
        <w:rPr>
          <w:b/>
        </w:rPr>
        <w:t>E. 21</w:t>
      </w:r>
    </w:p>
    <w:p>
      <w:r>
        <w:t>août 2018, contestant cette dernière. Ce courrier a été transmis à la Cour de céans pour objet de sa compétence le 13 septembre 2018. C. Par courrier du 24 septembre 2018, A.________ s'est adressé au Président de la Cour de céans en le rendant attentif au fait que son acte du 12 septembre 2018 ne devait pas être considéré comme un recours à l'encontre la décision du 21 août 2018. D. Compte tenu du sort réservé au recours, l’intimé n’a pas été invité à se déterminer.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 1.2. La valeur litigieuse est de CHF 100.-. 2. 2.1.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force est de constater que l’acte de recours déposé ne contient aucune motivation idoine. En effet, le recourant n’a formulé aucun grief concret, ayant un minimum de consistance, à l’encontre de la décision querellée. Il se contente d'affirmer sans le démontrer que</w:t>
      </w:r>
    </w:p>
    <w:p>
      <w:r>
        <w:t>Tribunal cantonal TC Page 3 de 4 les codes de procédures ne sont pas applicables et qu'il y a une violation de l'accès à un tribunal neutre et indépendant. Il affirme également que le premier juge a violé les règles de la bonne foi et qu'il ne pouvait pas juger cette cause puisque, selon le recourant, il existerait des relations cachées qui lieraient l'Ordre des avocats et les tribunaux. La Cour peine à suivre l'argumentation difficilement compréhensible du recourant qui est avancée sans fondement et sans motivation. Au vu de ce qui précède, le recourant n’a pas respecté les exigences précitées, ce qui s’apparente à un défaut de motivation (art. 321 al. 1 CPC) et son recours doit par conséquent être déclaré irrecevable. 3. Quand bien même il serait recevable, le recours devrait de toute façon être rejeté dans la mesure où il est manifestement mal fondé, la décision attaquée ne comportant en définitive aucune erreur que ce soit dans l’application du droit et/ou dans sa justification en fait. 3.1. Aux termes de l’art. 80 al. 1 LP, le créancier qui est au bénéfice d’un jugement exécutoire peut requérir du juge la mainlevée définitive de l’opposition. Aux termes de l’art. 81 al. 1 LP, le juge ordonne la mainlevée définitive de l’opposition, à moins que l’opposant ne prouve que la dette a été éteinte ou qu’il a obtenu un sursis, postérieurement au jugement, ou qu’il ne se prévale de la prescription. 3.2. En l’espèce, dès lors que le créancier poursuivant a produit le jugement attesté définitif et exécutoire du 30 octobre 2017, condamnant l’opposant au paiement de frais de justice par CHF 100.-, et que le débiteur n’a pas établi par titre avoir payé sa dette (art. 81 al. 1 LP), la mainlevée définitive devait être prononcée. 4. 4.1. Dans la mesure où le débiteur a indiqué ne pas avoir eu l'intention de faire recours à l'encontre de la décision du 21 août 2018, il ne sera exceptionnellement pas perçu de frais judiciaires. 4.2. Dans la mesure où l’intimé n’a pas été invitée à se déterminer, conformément au prescrit de l’art. 322 al. 1 CPC, il ne lui sera pas alloué de dépens. (dispositif en page suivante)</w:t>
      </w:r>
    </w:p>
    <w:p>
      <w:r>
        <w:t>Tribunal cantonal TC Page 4 de 4 la Cour arrête: I. Le recours est irrecevable. II. Il n'est pas perçu de frais judiciaires.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octobre 2018/ege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