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241 vom 23. Oktober 2018</w:t>
      </w:r>
    </w:p>
    <w:p>
      <w:r>
        <w:t>FR Kantonsgericht, 2018-10-23, FR</w:t>
      </w:r>
    </w:p>
    <w:p>
      <w:r>
        <w:rPr>
          <w:b/>
        </w:rPr>
        <w:t xml:space="preserve">Quelle: </w:t>
      </w:r>
      <w:r>
        <w:t>https://mcp.opencaselaw.ch/entscheid/fr_gerichte_102_2018_241</w:t>
      </w:r>
    </w:p>
    <w:p>
      <w:r>
        <w:t>FR: FR_GERICHTE 102 2018 241 du 23 octobre 2018</w:t>
      </w:r>
    </w:p>
    <w:p>
      <w:r>
        <w:t>IT: FR_GERICHTE 102 2018 241 del 23 ottobre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 En l'espèce, la décision attaquée est réputée notifiée en date du 27 août 2018; remis à la poste le 6 septembre 2018, le recours a dès lors été interjeté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2ème éd. 2010, art. 174 n. 26); elle consiste en la capacité du débiteur de disposer de liquidités suffisantes pour payer ses dette échues et peut aussi être présente si cette capacité fait temporairement défaut, pour autant que des indices d'amélioration de la situation à court terme existent (arrêt TF 5A_912/2013 du 18 février 2014 consid. 3).</w:t>
      </w:r>
    </w:p>
    <w:p>
      <w:r>
        <w:t>Tribunal cantonal TC Page 3 de 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le recourant établit certes avoir payé le 4 septembre 2018 auprès de l'Office cantonal des faillites un montant de CHF 800.- en remboursement de la créance en poursuite. Toutefois, selon le décompte au dossier, il aurait dû verser CHF 940.10 pour solder cette poursuite en capital, intérêts et frais. De plus, l'extrait du registre des poursuites montre qu'à part cette dette, il fait actuellement l'objet de trois autres poursuites au stade de la commination de faillite, pour un montant total de plus de CHF 5'000.-, qu'il n'a pas réglé ni déposé à l'intention de la créancière. Le recourant expose qu'il a connu quelques problèmes au niveau des liquidités, un traitement médical ayant engendré des retards au niveau de la facturation. Il relève qu'il va pouvoir encaisser un montant d'au moins CHF 40'000.- auprès de divers débiteurs solvables ces prochaines semaines. Il possède en outre du matériel pour environ CHF 150'000.-. Cela étant, il ne produit aucun document de nature à rendre vraisemblable sa solvabilité, tels qu'un extrait de compte bancaire ou des copies de factures envoyées à des clients, mais se contente de produire – après l'expiration du délai de recours – une liste de débiteurs qu'il a lui-même établie. Dans ces conditions, la Cour doit constater que la dette objet de la commination de faillite n'a pas été payée dans son intégralité et que le failli ne produit pas de documents de nature à rendre vraisemblable sa solvabilité. De plus, outre la poursuite ayant donné lieu au prononcé de la faillite, il fait actuellement l'objet de trois autres comminations de faillite, ainsi que de plusieurs commandements de payer et saisies, ce qui donne à penser qu'il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du recourant est attirée sur la possibilité d’obtenir la révocation de la faillite aux conditions de l’art. 195 LP.</w:t>
      </w:r>
    </w:p>
    <w:p>
      <w:r>
        <w:rPr>
          <w:b/>
        </w:rPr>
        <w:t>E. 4</w:t>
      </w:r>
    </w:p>
    <w:p>
      <w:r>
        <w:t>Les frais judiciaires de la procédure de recours sont mis à la charge du recourant, qui succombe (art. 106 al. 1 CPC). Ils sont fixés forfaitairement à CHF 500.-. Il n’est pas alloué de dépens, l’intimée ne s'étant pas déterminée sur le recours.</w:t>
      </w:r>
    </w:p>
    <w:p>
      <w:r>
        <w:t>Tribunal cantonal TC Page 4 de 4 la Cour arrête: I. Le recours est rejeté. Partant, la décision du Président du Tribunal civil de l'arrondissement de la Gruyère du</w:t>
      </w:r>
    </w:p>
    <w:p>
      <w:r>
        <w:rPr>
          <w:b/>
        </w:rPr>
        <w:t>E. 6</w:t>
      </w:r>
    </w:p>
    <w:p>
      <w:r>
        <w:t>août 2018 est confirmée. Elle a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